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EB97" w14:textId="77777777" w:rsidR="00A97929" w:rsidRPr="00385732" w:rsidRDefault="001D4F2D" w:rsidP="00EE3161">
      <w:pPr>
        <w:pStyle w:val="Title"/>
      </w:pPr>
      <w:r w:rsidRPr="00385732">
        <w:t>P</w:t>
      </w:r>
      <w:r w:rsidR="00FD712A">
        <w:t>OLICY</w:t>
      </w:r>
    </w:p>
    <w:tbl>
      <w:tblPr>
        <w:tblStyle w:val="TableGrid"/>
        <w:tblW w:w="0" w:type="auto"/>
        <w:tblLook w:val="0680" w:firstRow="0" w:lastRow="0" w:firstColumn="1" w:lastColumn="0" w:noHBand="1" w:noVBand="1"/>
      </w:tblPr>
      <w:tblGrid>
        <w:gridCol w:w="3039"/>
        <w:gridCol w:w="6583"/>
      </w:tblGrid>
      <w:tr w:rsidR="00EF35BF" w14:paraId="344D25EF" w14:textId="77777777" w:rsidTr="000D4462">
        <w:trPr>
          <w:trHeight w:val="18"/>
        </w:trPr>
        <w:tc>
          <w:tcPr>
            <w:tcW w:w="3090" w:type="dxa"/>
          </w:tcPr>
          <w:p w14:paraId="3991E1B6" w14:textId="77777777" w:rsidR="00EF35BF" w:rsidRPr="002B790E" w:rsidRDefault="00FD712A" w:rsidP="00385732">
            <w:pPr>
              <w:ind w:left="0"/>
              <w:rPr>
                <w:b/>
              </w:rPr>
            </w:pPr>
            <w:r w:rsidRPr="00FD712A">
              <w:rPr>
                <w:b/>
              </w:rPr>
              <w:t>Policy name:</w:t>
            </w:r>
          </w:p>
        </w:tc>
        <w:tc>
          <w:tcPr>
            <w:tcW w:w="6758" w:type="dxa"/>
          </w:tcPr>
          <w:p w14:paraId="2C8CE580" w14:textId="57E840A5" w:rsidR="00EF35BF" w:rsidRDefault="00AB3894" w:rsidP="007F62B2">
            <w:pPr>
              <w:ind w:left="0"/>
            </w:pPr>
            <w:r>
              <w:t>Data Protection</w:t>
            </w:r>
          </w:p>
        </w:tc>
      </w:tr>
      <w:tr w:rsidR="00EF35BF" w14:paraId="30FB2DC9" w14:textId="77777777" w:rsidTr="000D4462">
        <w:trPr>
          <w:trHeight w:val="18"/>
        </w:trPr>
        <w:tc>
          <w:tcPr>
            <w:tcW w:w="3090" w:type="dxa"/>
          </w:tcPr>
          <w:p w14:paraId="0EB511C7" w14:textId="77777777" w:rsidR="00EF35BF" w:rsidRPr="002B790E" w:rsidRDefault="00FD712A" w:rsidP="00385732">
            <w:pPr>
              <w:ind w:left="0"/>
              <w:rPr>
                <w:b/>
              </w:rPr>
            </w:pPr>
            <w:r w:rsidRPr="00FD712A">
              <w:rPr>
                <w:b/>
              </w:rPr>
              <w:t>Date:</w:t>
            </w:r>
          </w:p>
        </w:tc>
        <w:tc>
          <w:tcPr>
            <w:tcW w:w="6758" w:type="dxa"/>
          </w:tcPr>
          <w:p w14:paraId="5377AB80" w14:textId="4C3053E0" w:rsidR="00EF35BF" w:rsidRDefault="00AB3894" w:rsidP="007F62B2">
            <w:pPr>
              <w:ind w:left="0"/>
            </w:pPr>
            <w:r>
              <w:t>March 2018</w:t>
            </w:r>
          </w:p>
        </w:tc>
      </w:tr>
      <w:tr w:rsidR="00EF35BF" w14:paraId="1E28E9BD" w14:textId="77777777" w:rsidTr="000D4462">
        <w:trPr>
          <w:trHeight w:val="29"/>
        </w:trPr>
        <w:tc>
          <w:tcPr>
            <w:tcW w:w="3090" w:type="dxa"/>
          </w:tcPr>
          <w:p w14:paraId="2F183B28" w14:textId="77777777" w:rsidR="00EF35BF" w:rsidRPr="002B790E" w:rsidRDefault="00FD712A" w:rsidP="00385732">
            <w:pPr>
              <w:ind w:left="0"/>
              <w:rPr>
                <w:b/>
              </w:rPr>
            </w:pPr>
            <w:r w:rsidRPr="00FD712A">
              <w:rPr>
                <w:b/>
              </w:rPr>
              <w:t>Author:</w:t>
            </w:r>
          </w:p>
        </w:tc>
        <w:tc>
          <w:tcPr>
            <w:tcW w:w="6758" w:type="dxa"/>
          </w:tcPr>
          <w:p w14:paraId="4FA23DC7" w14:textId="33869919" w:rsidR="00EF35BF" w:rsidRDefault="00AB3894" w:rsidP="00E6124E">
            <w:pPr>
              <w:ind w:left="0"/>
            </w:pPr>
            <w:r>
              <w:t>Margaret Ridge</w:t>
            </w:r>
          </w:p>
        </w:tc>
      </w:tr>
      <w:tr w:rsidR="00FD712A" w14:paraId="217C1D07" w14:textId="77777777" w:rsidTr="000D4462">
        <w:trPr>
          <w:trHeight w:val="29"/>
        </w:trPr>
        <w:tc>
          <w:tcPr>
            <w:tcW w:w="3090" w:type="dxa"/>
          </w:tcPr>
          <w:p w14:paraId="229BC776" w14:textId="77777777" w:rsidR="00FD712A" w:rsidRPr="00FD712A" w:rsidRDefault="00FD712A" w:rsidP="00FD712A">
            <w:pPr>
              <w:ind w:left="0"/>
              <w:rPr>
                <w:b/>
              </w:rPr>
            </w:pPr>
            <w:r w:rsidRPr="00FD712A">
              <w:rPr>
                <w:b/>
              </w:rPr>
              <w:t>Consultation group:</w:t>
            </w:r>
          </w:p>
        </w:tc>
        <w:tc>
          <w:tcPr>
            <w:tcW w:w="6758" w:type="dxa"/>
          </w:tcPr>
          <w:p w14:paraId="4D3FBE80" w14:textId="7943DF6F" w:rsidR="00FD712A" w:rsidRDefault="0099367C" w:rsidP="00E54726">
            <w:pPr>
              <w:ind w:left="0"/>
            </w:pPr>
            <w:r>
              <w:t>Representatives from curriculum and support managers who have constituted the GDPR steering group.</w:t>
            </w:r>
          </w:p>
        </w:tc>
      </w:tr>
      <w:tr w:rsidR="00FD712A" w14:paraId="54EFE30A" w14:textId="77777777" w:rsidTr="000D4462">
        <w:trPr>
          <w:trHeight w:val="29"/>
        </w:trPr>
        <w:tc>
          <w:tcPr>
            <w:tcW w:w="3090" w:type="dxa"/>
          </w:tcPr>
          <w:p w14:paraId="317257EE" w14:textId="77777777" w:rsidR="00FD712A" w:rsidRPr="00FD712A" w:rsidRDefault="00FD712A" w:rsidP="00DF627B">
            <w:pPr>
              <w:ind w:left="0"/>
              <w:rPr>
                <w:b/>
              </w:rPr>
            </w:pPr>
            <w:r w:rsidRPr="00FD712A">
              <w:rPr>
                <w:b/>
              </w:rPr>
              <w:t>This policy is relevant to</w:t>
            </w:r>
            <w:r w:rsidR="00DF627B">
              <w:rPr>
                <w:b/>
              </w:rPr>
              <w:br/>
            </w:r>
            <w:r w:rsidRPr="006375ED">
              <w:rPr>
                <w:b/>
                <w:sz w:val="16"/>
                <w:szCs w:val="16"/>
              </w:rPr>
              <w:t>(tick as applicable):</w:t>
            </w:r>
          </w:p>
        </w:tc>
        <w:tc>
          <w:tcPr>
            <w:tcW w:w="6758" w:type="dxa"/>
          </w:tcPr>
          <w:p w14:paraId="0AA41CC2" w14:textId="4D4009FF" w:rsidR="00FD712A" w:rsidRDefault="00FD712A" w:rsidP="00E54726">
            <w:pPr>
              <w:ind w:left="0"/>
            </w:pPr>
            <w:r w:rsidRPr="00FD712A">
              <w:t>Students</w:t>
            </w:r>
            <w:r>
              <w:t xml:space="preserve">   </w:t>
            </w:r>
            <w:sdt>
              <w:sdtPr>
                <w:rPr>
                  <w:color w:val="007396"/>
                </w:rPr>
                <w:id w:val="-560875316"/>
                <w14:checkbox>
                  <w14:checked w14:val="1"/>
                  <w14:checkedState w14:val="2612" w14:font="MS Gothic"/>
                  <w14:uncheckedState w14:val="2610" w14:font="MS Gothic"/>
                </w14:checkbox>
              </w:sdtPr>
              <w:sdtEndPr/>
              <w:sdtContent>
                <w:r w:rsidR="00AB3894">
                  <w:rPr>
                    <w:rFonts w:ascii="MS Gothic" w:eastAsia="MS Gothic" w:hAnsi="MS Gothic" w:hint="eastAsia"/>
                    <w:color w:val="007396"/>
                  </w:rPr>
                  <w:t>☒</w:t>
                </w:r>
              </w:sdtContent>
            </w:sdt>
            <w:r>
              <w:t xml:space="preserve">   </w:t>
            </w:r>
            <w:r w:rsidRPr="00FD712A">
              <w:t>Governors</w:t>
            </w:r>
            <w:r>
              <w:t xml:space="preserve">   </w:t>
            </w:r>
            <w:sdt>
              <w:sdtPr>
                <w:rPr>
                  <w:color w:val="007396"/>
                </w:rPr>
                <w:id w:val="1272287399"/>
                <w14:checkbox>
                  <w14:checked w14:val="1"/>
                  <w14:checkedState w14:val="2612" w14:font="MS Gothic"/>
                  <w14:uncheckedState w14:val="2610" w14:font="MS Gothic"/>
                </w14:checkbox>
              </w:sdtPr>
              <w:sdtEndPr/>
              <w:sdtContent>
                <w:r w:rsidR="00AB3894">
                  <w:rPr>
                    <w:rFonts w:ascii="MS Gothic" w:eastAsia="MS Gothic" w:hAnsi="MS Gothic" w:hint="eastAsia"/>
                    <w:color w:val="007396"/>
                  </w:rPr>
                  <w:t>☒</w:t>
                </w:r>
              </w:sdtContent>
            </w:sdt>
            <w:r>
              <w:t xml:space="preserve">   </w:t>
            </w:r>
            <w:r w:rsidRPr="00FD712A">
              <w:t>Staff</w:t>
            </w:r>
            <w:r>
              <w:t xml:space="preserve">   </w:t>
            </w:r>
            <w:sdt>
              <w:sdtPr>
                <w:rPr>
                  <w:color w:val="007396"/>
                </w:rPr>
                <w:id w:val="111015518"/>
                <w14:checkbox>
                  <w14:checked w14:val="1"/>
                  <w14:checkedState w14:val="2612" w14:font="MS Gothic"/>
                  <w14:uncheckedState w14:val="2610" w14:font="MS Gothic"/>
                </w14:checkbox>
              </w:sdtPr>
              <w:sdtEndPr/>
              <w:sdtContent>
                <w:r w:rsidR="00E6124E">
                  <w:rPr>
                    <w:rFonts w:ascii="MS Gothic" w:eastAsia="MS Gothic" w:hAnsi="MS Gothic" w:hint="eastAsia"/>
                    <w:color w:val="007396"/>
                  </w:rPr>
                  <w:t>☒</w:t>
                </w:r>
              </w:sdtContent>
            </w:sdt>
            <w:r>
              <w:t xml:space="preserve">   </w:t>
            </w:r>
            <w:r w:rsidRPr="00FD712A">
              <w:t>Employers</w:t>
            </w:r>
            <w:r>
              <w:t xml:space="preserve">   </w:t>
            </w:r>
            <w:sdt>
              <w:sdtPr>
                <w:rPr>
                  <w:color w:val="007396"/>
                </w:rPr>
                <w:id w:val="-1352176188"/>
                <w14:checkbox>
                  <w14:checked w14:val="1"/>
                  <w14:checkedState w14:val="2612" w14:font="MS Gothic"/>
                  <w14:uncheckedState w14:val="2610" w14:font="MS Gothic"/>
                </w14:checkbox>
              </w:sdtPr>
              <w:sdtEndPr/>
              <w:sdtContent>
                <w:r w:rsidR="00AB3894">
                  <w:rPr>
                    <w:rFonts w:ascii="MS Gothic" w:eastAsia="MS Gothic" w:hAnsi="MS Gothic" w:hint="eastAsia"/>
                    <w:color w:val="007396"/>
                  </w:rPr>
                  <w:t>☒</w:t>
                </w:r>
              </w:sdtContent>
            </w:sdt>
          </w:p>
        </w:tc>
      </w:tr>
      <w:tr w:rsidR="00FD712A" w14:paraId="3FAD3D04" w14:textId="77777777" w:rsidTr="000D4462">
        <w:trPr>
          <w:trHeight w:val="29"/>
        </w:trPr>
        <w:tc>
          <w:tcPr>
            <w:tcW w:w="3090" w:type="dxa"/>
          </w:tcPr>
          <w:p w14:paraId="11E5E90D" w14:textId="77777777" w:rsidR="00FD712A" w:rsidRPr="00FD712A" w:rsidRDefault="00FD712A" w:rsidP="00FD712A">
            <w:pPr>
              <w:ind w:left="0"/>
              <w:rPr>
                <w:b/>
              </w:rPr>
            </w:pPr>
            <w:r w:rsidRPr="00FD712A">
              <w:rPr>
                <w:b/>
              </w:rPr>
              <w:t>Policy to be located:</w:t>
            </w:r>
          </w:p>
        </w:tc>
        <w:tc>
          <w:tcPr>
            <w:tcW w:w="6758" w:type="dxa"/>
          </w:tcPr>
          <w:p w14:paraId="3C2A5936" w14:textId="49466E60" w:rsidR="00FD712A" w:rsidRDefault="00AB3894" w:rsidP="00E54726">
            <w:pPr>
              <w:ind w:left="0"/>
            </w:pPr>
            <w:r>
              <w:t>College Intranet</w:t>
            </w:r>
          </w:p>
        </w:tc>
      </w:tr>
    </w:tbl>
    <w:p w14:paraId="740A9878" w14:textId="77777777" w:rsidR="001D4F2D" w:rsidRDefault="001D4F2D" w:rsidP="00EE3161"/>
    <w:tbl>
      <w:tblPr>
        <w:tblStyle w:val="TableGrid"/>
        <w:tblW w:w="0" w:type="auto"/>
        <w:tblLook w:val="04A0" w:firstRow="1" w:lastRow="0" w:firstColumn="1" w:lastColumn="0" w:noHBand="0" w:noVBand="1"/>
      </w:tblPr>
      <w:tblGrid>
        <w:gridCol w:w="3040"/>
        <w:gridCol w:w="6582"/>
      </w:tblGrid>
      <w:tr w:rsidR="00E54726" w14:paraId="121CC699" w14:textId="77777777" w:rsidTr="000D4462">
        <w:tc>
          <w:tcPr>
            <w:tcW w:w="3090" w:type="dxa"/>
          </w:tcPr>
          <w:p w14:paraId="55882183" w14:textId="77777777" w:rsidR="00E54726" w:rsidRPr="008B4A62" w:rsidRDefault="00370722" w:rsidP="007F62B2">
            <w:pPr>
              <w:ind w:left="0"/>
              <w:rPr>
                <w:b/>
              </w:rPr>
            </w:pPr>
            <w:r>
              <w:rPr>
                <w:b/>
              </w:rPr>
              <w:t>Is SL</w:t>
            </w:r>
            <w:r w:rsidR="00E54726" w:rsidRPr="00E54726">
              <w:rPr>
                <w:b/>
              </w:rPr>
              <w:t>T approval required?</w:t>
            </w:r>
          </w:p>
        </w:tc>
        <w:tc>
          <w:tcPr>
            <w:tcW w:w="6758" w:type="dxa"/>
          </w:tcPr>
          <w:p w14:paraId="627A8A69" w14:textId="77777777" w:rsidR="00E54726" w:rsidRPr="008B4A62" w:rsidRDefault="00E54726" w:rsidP="00E54726">
            <w:pPr>
              <w:ind w:left="0"/>
              <w:rPr>
                <w:b/>
              </w:rPr>
            </w:pPr>
            <w:r>
              <w:t xml:space="preserve">YES   </w:t>
            </w:r>
            <w:sdt>
              <w:sdtPr>
                <w:rPr>
                  <w:color w:val="007396"/>
                </w:rPr>
                <w:id w:val="1468163945"/>
                <w14:checkbox>
                  <w14:checked w14:val="1"/>
                  <w14:checkedState w14:val="2612" w14:font="MS Gothic"/>
                  <w14:uncheckedState w14:val="2610" w14:font="MS Gothic"/>
                </w14:checkbox>
              </w:sdtPr>
              <w:sdtEndPr/>
              <w:sdtContent>
                <w:r w:rsidR="007E6DDC">
                  <w:rPr>
                    <w:rFonts w:ascii="MS Gothic" w:eastAsia="MS Gothic" w:hAnsi="MS Gothic" w:hint="eastAsia"/>
                    <w:color w:val="007396"/>
                  </w:rPr>
                  <w:t>☒</w:t>
                </w:r>
              </w:sdtContent>
            </w:sdt>
            <w:r>
              <w:t xml:space="preserve">   NO  </w:t>
            </w:r>
            <w:sdt>
              <w:sdtPr>
                <w:id w:val="-391885865"/>
                <w14:checkbox>
                  <w14:checked w14:val="0"/>
                  <w14:checkedState w14:val="2612" w14:font="MS Gothic"/>
                  <w14:uncheckedState w14:val="2610" w14:font="MS Gothic"/>
                </w14:checkbox>
              </w:sdtPr>
              <w:sdtEndPr/>
              <w:sdtContent>
                <w:r w:rsidR="007E6DDC">
                  <w:rPr>
                    <w:rFonts w:ascii="MS Gothic" w:eastAsia="MS Gothic" w:hAnsi="MS Gothic" w:hint="eastAsia"/>
                  </w:rPr>
                  <w:t>☐</w:t>
                </w:r>
              </w:sdtContent>
            </w:sdt>
          </w:p>
        </w:tc>
      </w:tr>
      <w:tr w:rsidR="00E54726" w14:paraId="184ECB10" w14:textId="77777777" w:rsidTr="000D4462">
        <w:tc>
          <w:tcPr>
            <w:tcW w:w="3090" w:type="dxa"/>
          </w:tcPr>
          <w:p w14:paraId="74FB96FF" w14:textId="77777777" w:rsidR="00E54726" w:rsidRPr="008B4A62" w:rsidRDefault="006375ED" w:rsidP="007F62B2">
            <w:pPr>
              <w:ind w:left="0"/>
              <w:rPr>
                <w:b/>
              </w:rPr>
            </w:pPr>
            <w:r w:rsidRPr="006375ED">
              <w:rPr>
                <w:b/>
              </w:rPr>
              <w:t>Approved by:</w:t>
            </w:r>
          </w:p>
        </w:tc>
        <w:tc>
          <w:tcPr>
            <w:tcW w:w="6758" w:type="dxa"/>
          </w:tcPr>
          <w:p w14:paraId="72DCB669" w14:textId="19373620" w:rsidR="00E54726" w:rsidRDefault="009B5E82" w:rsidP="007F62B2">
            <w:pPr>
              <w:ind w:left="0"/>
            </w:pPr>
            <w:r>
              <w:t>SLT</w:t>
            </w:r>
          </w:p>
        </w:tc>
      </w:tr>
      <w:tr w:rsidR="00E54726" w14:paraId="5B1E87DD" w14:textId="77777777" w:rsidTr="000D4462">
        <w:tc>
          <w:tcPr>
            <w:tcW w:w="3090" w:type="dxa"/>
          </w:tcPr>
          <w:p w14:paraId="21D0F477" w14:textId="77777777" w:rsidR="00E54726" w:rsidRPr="008B4A62" w:rsidRDefault="006375ED" w:rsidP="007F62B2">
            <w:pPr>
              <w:ind w:left="0"/>
              <w:rPr>
                <w:b/>
              </w:rPr>
            </w:pPr>
            <w:r w:rsidRPr="006375ED">
              <w:rPr>
                <w:b/>
              </w:rPr>
              <w:t>Date of approval:</w:t>
            </w:r>
          </w:p>
        </w:tc>
        <w:tc>
          <w:tcPr>
            <w:tcW w:w="6758" w:type="dxa"/>
          </w:tcPr>
          <w:p w14:paraId="683F2FED" w14:textId="77777777" w:rsidR="00E54726" w:rsidRDefault="00E54726" w:rsidP="007F62B2">
            <w:pPr>
              <w:ind w:left="0"/>
            </w:pPr>
          </w:p>
        </w:tc>
      </w:tr>
      <w:tr w:rsidR="00E54726" w14:paraId="2D08CE56" w14:textId="77777777" w:rsidTr="007E6DDC">
        <w:tc>
          <w:tcPr>
            <w:tcW w:w="3090" w:type="dxa"/>
          </w:tcPr>
          <w:p w14:paraId="3D4F1149" w14:textId="77777777" w:rsidR="00E54726" w:rsidRPr="008B4A62" w:rsidRDefault="006375ED" w:rsidP="00DF627B">
            <w:pPr>
              <w:ind w:left="0"/>
              <w:rPr>
                <w:b/>
              </w:rPr>
            </w:pPr>
            <w:r w:rsidRPr="006375ED">
              <w:rPr>
                <w:b/>
              </w:rPr>
              <w:t>Reference number:</w:t>
            </w:r>
            <w:r w:rsidR="00DF627B">
              <w:rPr>
                <w:b/>
              </w:rPr>
              <w:br/>
            </w:r>
            <w:r w:rsidRPr="006375ED">
              <w:rPr>
                <w:b/>
                <w:sz w:val="16"/>
                <w:szCs w:val="16"/>
              </w:rPr>
              <w:t>(to be allocated by Governance and Admin)</w:t>
            </w:r>
            <w:r>
              <w:rPr>
                <w:b/>
                <w:sz w:val="16"/>
                <w:szCs w:val="16"/>
              </w:rPr>
              <w:t>:</w:t>
            </w:r>
          </w:p>
        </w:tc>
        <w:tc>
          <w:tcPr>
            <w:tcW w:w="6758" w:type="dxa"/>
            <w:vAlign w:val="center"/>
          </w:tcPr>
          <w:p w14:paraId="1D56FBDB" w14:textId="77777777" w:rsidR="00E54726" w:rsidRDefault="00E54726" w:rsidP="007E6DDC">
            <w:pPr>
              <w:ind w:left="0"/>
            </w:pPr>
          </w:p>
        </w:tc>
      </w:tr>
      <w:tr w:rsidR="006375ED" w14:paraId="590CBEF2" w14:textId="77777777" w:rsidTr="007E6DDC">
        <w:tc>
          <w:tcPr>
            <w:tcW w:w="3090" w:type="dxa"/>
          </w:tcPr>
          <w:p w14:paraId="45E0818C" w14:textId="77777777" w:rsidR="006375ED" w:rsidRPr="006375ED" w:rsidRDefault="006375ED" w:rsidP="006375ED">
            <w:pPr>
              <w:ind w:left="0"/>
              <w:rPr>
                <w:b/>
              </w:rPr>
            </w:pPr>
            <w:r w:rsidRPr="006375ED">
              <w:rPr>
                <w:b/>
              </w:rPr>
              <w:t>Date to be reviewed:</w:t>
            </w:r>
            <w:r w:rsidRPr="006375ED">
              <w:rPr>
                <w:b/>
                <w:sz w:val="16"/>
                <w:szCs w:val="16"/>
              </w:rPr>
              <w:t xml:space="preserve"> (to be agreed at approval)</w:t>
            </w:r>
            <w:r>
              <w:rPr>
                <w:b/>
                <w:sz w:val="16"/>
                <w:szCs w:val="16"/>
              </w:rPr>
              <w:t>:</w:t>
            </w:r>
          </w:p>
        </w:tc>
        <w:tc>
          <w:tcPr>
            <w:tcW w:w="6758" w:type="dxa"/>
            <w:vAlign w:val="center"/>
          </w:tcPr>
          <w:p w14:paraId="50D6BC90" w14:textId="77777777" w:rsidR="006375ED" w:rsidRDefault="006375ED" w:rsidP="007E6DDC">
            <w:pPr>
              <w:ind w:left="0"/>
            </w:pPr>
          </w:p>
        </w:tc>
      </w:tr>
    </w:tbl>
    <w:p w14:paraId="59063390" w14:textId="77777777" w:rsidR="002B790E" w:rsidRDefault="002B790E" w:rsidP="001D4F2D"/>
    <w:tbl>
      <w:tblPr>
        <w:tblStyle w:val="TableGrid"/>
        <w:tblW w:w="0" w:type="auto"/>
        <w:tblLook w:val="04A0" w:firstRow="1" w:lastRow="0" w:firstColumn="1" w:lastColumn="0" w:noHBand="0" w:noVBand="1"/>
      </w:tblPr>
      <w:tblGrid>
        <w:gridCol w:w="9622"/>
      </w:tblGrid>
      <w:tr w:rsidR="008B4A62" w14:paraId="1A146357" w14:textId="77777777" w:rsidTr="00E6124E">
        <w:tc>
          <w:tcPr>
            <w:tcW w:w="9622" w:type="dxa"/>
          </w:tcPr>
          <w:p w14:paraId="5DF4F97F" w14:textId="77777777" w:rsidR="008B4A62" w:rsidRDefault="00AA7DD5" w:rsidP="00AA7DD5">
            <w:pPr>
              <w:pStyle w:val="Subtitle"/>
              <w:ind w:left="0"/>
            </w:pPr>
            <w:r w:rsidRPr="00AA7DD5">
              <w:rPr>
                <w:caps w:val="0"/>
              </w:rPr>
              <w:t>1. POLICY STATEMENT</w:t>
            </w:r>
          </w:p>
        </w:tc>
      </w:tr>
      <w:tr w:rsidR="00AA7DD5" w14:paraId="2DEBA920" w14:textId="77777777" w:rsidTr="009666E9">
        <w:trPr>
          <w:trHeight w:val="1145"/>
        </w:trPr>
        <w:tc>
          <w:tcPr>
            <w:tcW w:w="9622" w:type="dxa"/>
          </w:tcPr>
          <w:p w14:paraId="7855D213" w14:textId="77777777"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The College needs to keep certain information about its employees, students, and others in order to allow it to conduct its legitimate business.</w:t>
            </w:r>
          </w:p>
          <w:p w14:paraId="388A975F"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4E2CE34C" w14:textId="37DDEAE8"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It is necessary to process information so that staff can be recruited and paid, performance, achievements and health and safety monitored, courses organised in order to fulfil contracts with students, and to comply with legal obligations to funding bodies and other government agencies.</w:t>
            </w:r>
          </w:p>
          <w:p w14:paraId="2B18C469"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0AD63CE2" w14:textId="5A8BF652"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 xml:space="preserve">The college processes personal data both as a Data Controller and as a Data Processor. For all government funded activity undertaken, the college is a Data Processor for the ESFA who </w:t>
            </w:r>
            <w:proofErr w:type="gramStart"/>
            <w:r w:rsidRPr="00AB3894">
              <w:rPr>
                <w:rFonts w:eastAsia="Times New Roman" w:cs="Arial"/>
                <w:color w:val="595959" w:themeColor="text1" w:themeTint="A6"/>
                <w:sz w:val="22"/>
              </w:rPr>
              <w:t>is the Data Controller</w:t>
            </w:r>
            <w:proofErr w:type="gramEnd"/>
            <w:r w:rsidRPr="00AB3894">
              <w:rPr>
                <w:rFonts w:eastAsia="Times New Roman" w:cs="Arial"/>
                <w:color w:val="595959" w:themeColor="text1" w:themeTint="A6"/>
                <w:sz w:val="22"/>
              </w:rPr>
              <w:t xml:space="preserve">. The college is the Data Controller for all other activity such as employment </w:t>
            </w:r>
            <w:r w:rsidRPr="00AB3894">
              <w:rPr>
                <w:rFonts w:eastAsia="Times New Roman" w:cs="Arial"/>
                <w:color w:val="595959" w:themeColor="text1" w:themeTint="A6"/>
                <w:sz w:val="22"/>
              </w:rPr>
              <w:lastRenderedPageBreak/>
              <w:t xml:space="preserve">records and </w:t>
            </w:r>
            <w:proofErr w:type="spellStart"/>
            <w:proofErr w:type="gramStart"/>
            <w:r w:rsidRPr="00AB3894">
              <w:rPr>
                <w:rFonts w:eastAsia="Times New Roman" w:cs="Arial"/>
                <w:color w:val="595959" w:themeColor="text1" w:themeTint="A6"/>
                <w:sz w:val="22"/>
              </w:rPr>
              <w:t>non government</w:t>
            </w:r>
            <w:proofErr w:type="spellEnd"/>
            <w:proofErr w:type="gramEnd"/>
            <w:r w:rsidRPr="00AB3894">
              <w:rPr>
                <w:rFonts w:eastAsia="Times New Roman" w:cs="Arial"/>
                <w:color w:val="595959" w:themeColor="text1" w:themeTint="A6"/>
                <w:sz w:val="22"/>
              </w:rPr>
              <w:t xml:space="preserve"> funded student activity.</w:t>
            </w:r>
          </w:p>
          <w:p w14:paraId="467598C8" w14:textId="28730733" w:rsidR="00AB3894" w:rsidRPr="00AB3894" w:rsidRDefault="00AB3894" w:rsidP="00AB3894">
            <w:pPr>
              <w:spacing w:line="300" w:lineRule="auto"/>
              <w:ind w:left="0"/>
              <w:jc w:val="both"/>
              <w:rPr>
                <w:rFonts w:eastAsia="Times New Roman" w:cs="Arial"/>
                <w:color w:val="595959" w:themeColor="text1" w:themeTint="A6"/>
                <w:sz w:val="22"/>
              </w:rPr>
            </w:pPr>
          </w:p>
          <w:p w14:paraId="03B1483F" w14:textId="77777777"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 xml:space="preserve">To comply with the Data Protection Legislation, and specifically with General Data Protection Regulations (GDPR), personal information is collected and used fairly, stored safely, and not disclosed to any other person or organisation unlawfully. To do this, the College complies with the requirements of the Data Protection Act 1998 and GDPR 2018. </w:t>
            </w:r>
          </w:p>
          <w:p w14:paraId="432D4CD0"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3BE89CAE" w14:textId="77777777"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The college is transparent about the purposes for which personal data is processed and has clearly articulated Privacy Statements, Information Asset Register and Data sharing agreements and index.</w:t>
            </w:r>
          </w:p>
          <w:p w14:paraId="65CFA63C"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6A2942A2" w14:textId="77777777"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The college embraces the concept of Privacy by Design and has systems in place to ensure that any new system / activity undergoes Privacy Impact Assessment (PIA)</w:t>
            </w:r>
          </w:p>
          <w:p w14:paraId="4BEE1DD6"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08FB848B" w14:textId="77777777" w:rsidR="00AB3894"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color w:val="595959" w:themeColor="text1" w:themeTint="A6"/>
                <w:sz w:val="22"/>
              </w:rPr>
              <w:t>The college is currently registered with the Information Commissioner’s Office and will continue to be registered, post GDPR implementation, until December 2018 when the college’s current registration expires. Following expiry, the college will comply with the new legal requirement to pay the relevant ICO fee only.</w:t>
            </w:r>
          </w:p>
          <w:p w14:paraId="34188E41" w14:textId="77777777" w:rsidR="00AB3894" w:rsidRPr="00AB3894" w:rsidRDefault="00AB3894" w:rsidP="00AB3894">
            <w:pPr>
              <w:spacing w:line="300" w:lineRule="auto"/>
              <w:ind w:left="0"/>
              <w:jc w:val="both"/>
              <w:rPr>
                <w:rFonts w:eastAsia="Times New Roman" w:cs="Arial"/>
                <w:color w:val="595959" w:themeColor="text1" w:themeTint="A6"/>
                <w:sz w:val="22"/>
              </w:rPr>
            </w:pPr>
          </w:p>
          <w:p w14:paraId="2D163193" w14:textId="77777777" w:rsidR="00AB3894" w:rsidRPr="00AB3894" w:rsidRDefault="00AB3894" w:rsidP="00AB3894">
            <w:pPr>
              <w:spacing w:line="300" w:lineRule="auto"/>
              <w:ind w:left="0"/>
              <w:jc w:val="both"/>
              <w:rPr>
                <w:rFonts w:eastAsia="Times New Roman" w:cs="Arial"/>
                <w:color w:val="595959" w:themeColor="text1" w:themeTint="A6"/>
                <w:sz w:val="22"/>
                <w:u w:val="single"/>
                <w:shd w:val="clear" w:color="auto" w:fill="FFFFFF"/>
              </w:rPr>
            </w:pPr>
            <w:r w:rsidRPr="00AB3894">
              <w:rPr>
                <w:rFonts w:eastAsia="Times New Roman" w:cs="Arial"/>
                <w:color w:val="595959" w:themeColor="text1" w:themeTint="A6"/>
                <w:sz w:val="22"/>
              </w:rPr>
              <w:t xml:space="preserve">Currently the Data Protection registration number for City of Sunderland College is Z7456751. The College’s entry on the register can be viewed at </w:t>
            </w:r>
            <w:hyperlink r:id="rId8" w:history="1">
              <w:r w:rsidRPr="00AB3894">
                <w:rPr>
                  <w:rStyle w:val="Hyperlink"/>
                  <w:rFonts w:eastAsia="Times New Roman" w:cs="Arial"/>
                  <w:color w:val="595959" w:themeColor="text1" w:themeTint="A6"/>
                  <w:sz w:val="22"/>
                  <w:shd w:val="clear" w:color="auto" w:fill="FFFFFF"/>
                </w:rPr>
                <w:t>http://www.ico.gov.uk/for_organisations.aspx</w:t>
              </w:r>
            </w:hyperlink>
          </w:p>
          <w:p w14:paraId="4778A5B3" w14:textId="77777777" w:rsidR="00AB3894" w:rsidRPr="00AB3894" w:rsidRDefault="00AB3894" w:rsidP="00AB3894">
            <w:pPr>
              <w:spacing w:line="300" w:lineRule="auto"/>
              <w:ind w:left="0"/>
              <w:jc w:val="both"/>
              <w:rPr>
                <w:rFonts w:eastAsia="Times New Roman" w:cs="Arial"/>
                <w:color w:val="595959" w:themeColor="text1" w:themeTint="A6"/>
                <w:sz w:val="22"/>
                <w:u w:val="single"/>
                <w:shd w:val="clear" w:color="auto" w:fill="FFFFFF"/>
              </w:rPr>
            </w:pPr>
          </w:p>
          <w:p w14:paraId="7A79A0EF" w14:textId="77777777" w:rsidR="00AB3894" w:rsidRPr="00AB3894" w:rsidRDefault="00AB3894" w:rsidP="00AB3894">
            <w:pPr>
              <w:spacing w:line="300" w:lineRule="auto"/>
              <w:ind w:left="0"/>
              <w:jc w:val="both"/>
              <w:rPr>
                <w:rFonts w:eastAsia="Times New Roman" w:cs="Arial"/>
                <w:bCs/>
                <w:color w:val="595959" w:themeColor="text1" w:themeTint="A6"/>
                <w:sz w:val="22"/>
                <w:shd w:val="clear" w:color="auto" w:fill="FFFFFF"/>
              </w:rPr>
            </w:pPr>
            <w:r w:rsidRPr="00AB3894">
              <w:rPr>
                <w:rFonts w:eastAsia="Times New Roman" w:cs="Arial"/>
                <w:bCs/>
                <w:color w:val="595959" w:themeColor="text1" w:themeTint="A6"/>
                <w:sz w:val="22"/>
                <w:shd w:val="clear" w:color="auto" w:fill="FFFFFF"/>
              </w:rPr>
              <w:t>The Lawful Bases upon which the college relies for its processing of personal data are primarily:-</w:t>
            </w:r>
          </w:p>
          <w:p w14:paraId="271FFA05" w14:textId="77777777" w:rsidR="00AB3894" w:rsidRPr="00AB3894" w:rsidRDefault="00AB3894" w:rsidP="00AB3894">
            <w:pPr>
              <w:spacing w:line="300" w:lineRule="auto"/>
              <w:ind w:left="0"/>
              <w:jc w:val="both"/>
              <w:rPr>
                <w:rFonts w:eastAsia="Times New Roman" w:cs="Arial"/>
                <w:bCs/>
                <w:color w:val="595959" w:themeColor="text1" w:themeTint="A6"/>
                <w:sz w:val="22"/>
                <w:shd w:val="clear" w:color="auto" w:fill="FFFFFF"/>
                <w:lang w:val="en"/>
              </w:rPr>
            </w:pPr>
            <w:r w:rsidRPr="00AB3894">
              <w:rPr>
                <w:rFonts w:eastAsia="Times New Roman" w:cs="Arial"/>
                <w:b/>
                <w:bCs/>
                <w:color w:val="595959" w:themeColor="text1" w:themeTint="A6"/>
                <w:sz w:val="22"/>
                <w:shd w:val="clear" w:color="auto" w:fill="FFFFFF"/>
                <w:lang w:val="en"/>
              </w:rPr>
              <w:t xml:space="preserve">Contract: </w:t>
            </w:r>
            <w:r w:rsidRPr="00AB3894">
              <w:rPr>
                <w:rFonts w:eastAsia="Times New Roman" w:cs="Arial"/>
                <w:bCs/>
                <w:color w:val="595959" w:themeColor="text1" w:themeTint="A6"/>
                <w:sz w:val="22"/>
                <w:shd w:val="clear" w:color="auto" w:fill="FFFFFF"/>
                <w:lang w:val="en"/>
              </w:rPr>
              <w:t>the processing is necessary for a contract we have with the individual, or because they have asked us to take specific steps before entering into a contract.</w:t>
            </w:r>
          </w:p>
          <w:p w14:paraId="10C75BC6" w14:textId="77777777" w:rsidR="00AB3894" w:rsidRPr="00AB3894" w:rsidRDefault="00AB3894" w:rsidP="00AB3894">
            <w:pPr>
              <w:spacing w:line="300" w:lineRule="auto"/>
              <w:ind w:left="0"/>
              <w:jc w:val="both"/>
              <w:rPr>
                <w:rFonts w:eastAsia="Times New Roman" w:cs="Arial"/>
                <w:bCs/>
                <w:color w:val="595959" w:themeColor="text1" w:themeTint="A6"/>
                <w:sz w:val="22"/>
                <w:shd w:val="clear" w:color="auto" w:fill="FFFFFF"/>
                <w:lang w:val="en"/>
              </w:rPr>
            </w:pPr>
            <w:r w:rsidRPr="00AB3894">
              <w:rPr>
                <w:rFonts w:eastAsia="Times New Roman" w:cs="Arial"/>
                <w:b/>
                <w:bCs/>
                <w:color w:val="595959" w:themeColor="text1" w:themeTint="A6"/>
                <w:sz w:val="22"/>
                <w:shd w:val="clear" w:color="auto" w:fill="FFFFFF"/>
                <w:lang w:val="en"/>
              </w:rPr>
              <w:t xml:space="preserve">Legitimate interests: </w:t>
            </w:r>
            <w:r w:rsidRPr="00AB3894">
              <w:rPr>
                <w:rFonts w:eastAsia="Times New Roman" w:cs="Arial"/>
                <w:bCs/>
                <w:color w:val="595959" w:themeColor="text1" w:themeTint="A6"/>
                <w:sz w:val="22"/>
                <w:shd w:val="clear" w:color="auto" w:fill="FFFFFF"/>
                <w:lang w:val="en"/>
              </w:rPr>
              <w:t>the processing is necessary for your legitimate interests or the legitimate interests of a third party unless there is a good reason to protect the individual’s personal data which overrides those legitimate interests.</w:t>
            </w:r>
          </w:p>
          <w:p w14:paraId="4B18791F" w14:textId="77777777" w:rsidR="00AB3894" w:rsidRPr="00AB3894" w:rsidRDefault="00AB3894" w:rsidP="00AB3894">
            <w:pPr>
              <w:spacing w:line="300" w:lineRule="auto"/>
              <w:ind w:left="0"/>
              <w:jc w:val="both"/>
              <w:rPr>
                <w:rFonts w:eastAsia="Times New Roman" w:cs="Arial"/>
                <w:bCs/>
                <w:color w:val="595959" w:themeColor="text1" w:themeTint="A6"/>
                <w:sz w:val="22"/>
                <w:shd w:val="clear" w:color="auto" w:fill="FFFFFF"/>
                <w:lang w:val="en"/>
              </w:rPr>
            </w:pPr>
            <w:r w:rsidRPr="00AB3894">
              <w:rPr>
                <w:rFonts w:eastAsia="Times New Roman" w:cs="Arial"/>
                <w:b/>
                <w:bCs/>
                <w:color w:val="595959" w:themeColor="text1" w:themeTint="A6"/>
                <w:sz w:val="22"/>
                <w:shd w:val="clear" w:color="auto" w:fill="FFFFFF"/>
                <w:lang w:val="en"/>
              </w:rPr>
              <w:t xml:space="preserve">Public task: </w:t>
            </w:r>
            <w:r w:rsidRPr="00AB3894">
              <w:rPr>
                <w:rFonts w:eastAsia="Times New Roman" w:cs="Arial"/>
                <w:bCs/>
                <w:color w:val="595959" w:themeColor="text1" w:themeTint="A6"/>
                <w:sz w:val="22"/>
                <w:shd w:val="clear" w:color="auto" w:fill="FFFFFF"/>
                <w:lang w:val="en"/>
              </w:rPr>
              <w:t xml:space="preserve">The processing is necessary for the college to carry out </w:t>
            </w:r>
            <w:proofErr w:type="spellStart"/>
            <w:r w:rsidRPr="00AB3894">
              <w:rPr>
                <w:rFonts w:eastAsia="Times New Roman" w:cs="Arial"/>
                <w:bCs/>
                <w:color w:val="595959" w:themeColor="text1" w:themeTint="A6"/>
                <w:sz w:val="22"/>
                <w:shd w:val="clear" w:color="auto" w:fill="FFFFFF"/>
                <w:lang w:val="en"/>
              </w:rPr>
              <w:t>it’s</w:t>
            </w:r>
            <w:proofErr w:type="spellEnd"/>
            <w:r w:rsidRPr="00AB3894">
              <w:rPr>
                <w:rFonts w:eastAsia="Times New Roman" w:cs="Arial"/>
                <w:bCs/>
                <w:color w:val="595959" w:themeColor="text1" w:themeTint="A6"/>
                <w:sz w:val="22"/>
                <w:shd w:val="clear" w:color="auto" w:fill="FFFFFF"/>
                <w:lang w:val="en"/>
              </w:rPr>
              <w:t xml:space="preserve"> official functions.</w:t>
            </w:r>
          </w:p>
          <w:p w14:paraId="04EB6AF7" w14:textId="77777777" w:rsidR="00AB3894" w:rsidRPr="00AB3894" w:rsidRDefault="00AB3894" w:rsidP="00AB3894">
            <w:pPr>
              <w:spacing w:line="300" w:lineRule="auto"/>
              <w:ind w:left="0"/>
              <w:jc w:val="both"/>
              <w:rPr>
                <w:rFonts w:eastAsia="Times New Roman" w:cs="Arial"/>
                <w:bCs/>
                <w:color w:val="595959" w:themeColor="text1" w:themeTint="A6"/>
                <w:sz w:val="22"/>
                <w:shd w:val="clear" w:color="auto" w:fill="FFFFFF"/>
                <w:lang w:val="en"/>
              </w:rPr>
            </w:pPr>
          </w:p>
          <w:p w14:paraId="1B33D128" w14:textId="37622CC1" w:rsidR="00AA7DD5" w:rsidRPr="00AB3894" w:rsidRDefault="00AB3894" w:rsidP="00AB3894">
            <w:pPr>
              <w:spacing w:line="300" w:lineRule="auto"/>
              <w:ind w:left="0"/>
              <w:jc w:val="both"/>
              <w:rPr>
                <w:rFonts w:eastAsia="Times New Roman" w:cs="Arial"/>
                <w:color w:val="595959" w:themeColor="text1" w:themeTint="A6"/>
                <w:sz w:val="22"/>
              </w:rPr>
            </w:pPr>
            <w:r w:rsidRPr="00AB3894">
              <w:rPr>
                <w:rFonts w:eastAsia="Times New Roman" w:cs="Arial"/>
                <w:bCs/>
                <w:color w:val="595959" w:themeColor="text1" w:themeTint="A6"/>
                <w:sz w:val="22"/>
                <w:shd w:val="clear" w:color="auto" w:fill="FFFFFF"/>
                <w:lang w:val="en"/>
              </w:rPr>
              <w:t>In some circumstances, consent may be requested from data subjects.</w:t>
            </w:r>
          </w:p>
        </w:tc>
      </w:tr>
    </w:tbl>
    <w:p w14:paraId="44C3EFF0" w14:textId="77777777" w:rsidR="000B2F56" w:rsidRDefault="000B2F56" w:rsidP="000B2F56">
      <w:pPr>
        <w:pStyle w:val="Subtitle"/>
      </w:pPr>
    </w:p>
    <w:tbl>
      <w:tblPr>
        <w:tblStyle w:val="TableGrid"/>
        <w:tblW w:w="0" w:type="auto"/>
        <w:tblLook w:val="04A0" w:firstRow="1" w:lastRow="0" w:firstColumn="1" w:lastColumn="0" w:noHBand="0" w:noVBand="1"/>
      </w:tblPr>
      <w:tblGrid>
        <w:gridCol w:w="9622"/>
      </w:tblGrid>
      <w:tr w:rsidR="000B2F56" w14:paraId="33E53204" w14:textId="77777777" w:rsidTr="00AB3894">
        <w:tc>
          <w:tcPr>
            <w:tcW w:w="9622" w:type="dxa"/>
          </w:tcPr>
          <w:p w14:paraId="2BD8B6AF" w14:textId="77777777" w:rsidR="000B2F56" w:rsidRDefault="00AA7DD5" w:rsidP="006375ED">
            <w:pPr>
              <w:pStyle w:val="Subtitle"/>
              <w:ind w:left="0"/>
            </w:pPr>
            <w:r w:rsidRPr="00AA7DD5">
              <w:rPr>
                <w:caps w:val="0"/>
              </w:rPr>
              <w:t>2. STATEMENT OF PRINCIPLES</w:t>
            </w:r>
          </w:p>
        </w:tc>
      </w:tr>
      <w:tr w:rsidR="00AB3894" w14:paraId="55F013FE" w14:textId="77777777" w:rsidTr="00AB3894">
        <w:trPr>
          <w:trHeight w:val="734"/>
        </w:trPr>
        <w:tc>
          <w:tcPr>
            <w:tcW w:w="9622" w:type="dxa"/>
          </w:tcPr>
          <w:p w14:paraId="59343AAF" w14:textId="77777777" w:rsidR="00AB3894" w:rsidRPr="00AB3894" w:rsidRDefault="00AB3894" w:rsidP="00AB3894">
            <w:pPr>
              <w:spacing w:line="300" w:lineRule="auto"/>
              <w:ind w:left="0"/>
              <w:jc w:val="both"/>
              <w:rPr>
                <w:rFonts w:eastAsia="Times New Roman" w:cs="Arial"/>
                <w:sz w:val="22"/>
              </w:rPr>
            </w:pPr>
            <w:r w:rsidRPr="00AB3894">
              <w:rPr>
                <w:rFonts w:eastAsia="Times New Roman" w:cs="Arial"/>
                <w:sz w:val="22"/>
              </w:rPr>
              <w:t xml:space="preserve">The college adopts the principles outlined within GDPR and has systems and processes to ensure compliance with these. </w:t>
            </w:r>
          </w:p>
          <w:p w14:paraId="43BC384C" w14:textId="77777777" w:rsidR="00AB3894" w:rsidRPr="00AB3894" w:rsidRDefault="00AB3894" w:rsidP="00AB3894">
            <w:pPr>
              <w:spacing w:line="300" w:lineRule="auto"/>
              <w:ind w:left="0"/>
              <w:jc w:val="both"/>
              <w:rPr>
                <w:rFonts w:eastAsia="Times New Roman" w:cs="Arial"/>
                <w:sz w:val="22"/>
              </w:rPr>
            </w:pPr>
          </w:p>
          <w:p w14:paraId="26C88497" w14:textId="77777777" w:rsidR="00AB3894" w:rsidRPr="00AB3894" w:rsidRDefault="00AB3894" w:rsidP="00AB3894">
            <w:pPr>
              <w:spacing w:line="300" w:lineRule="auto"/>
              <w:ind w:left="0"/>
              <w:jc w:val="both"/>
              <w:rPr>
                <w:rFonts w:eastAsia="Times New Roman" w:cs="Arial"/>
                <w:sz w:val="22"/>
              </w:rPr>
            </w:pPr>
            <w:r w:rsidRPr="00AB3894">
              <w:rPr>
                <w:rFonts w:eastAsia="Times New Roman" w:cs="Arial"/>
                <w:sz w:val="22"/>
              </w:rPr>
              <w:t>At Sunderland College it is ensured that personal data is:-</w:t>
            </w:r>
          </w:p>
          <w:p w14:paraId="75936B8B" w14:textId="77777777" w:rsidR="00AB3894" w:rsidRPr="00AB3894" w:rsidRDefault="00AB3894" w:rsidP="00AB3894">
            <w:pPr>
              <w:spacing w:line="300" w:lineRule="auto"/>
              <w:ind w:left="0"/>
              <w:jc w:val="both"/>
              <w:rPr>
                <w:rFonts w:eastAsia="Times New Roman" w:cs="Arial"/>
                <w:sz w:val="22"/>
              </w:rPr>
            </w:pPr>
          </w:p>
          <w:p w14:paraId="3391B9C5" w14:textId="20D9F076" w:rsid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Processed lawfully, fairly and in a transparent manner in relation to individuals</w:t>
            </w:r>
            <w:r>
              <w:rPr>
                <w:rFonts w:eastAsia="Times New Roman" w:cs="Arial"/>
                <w:sz w:val="22"/>
                <w:lang w:val="en"/>
              </w:rPr>
              <w:t>.</w:t>
            </w:r>
          </w:p>
          <w:p w14:paraId="10F0849B" w14:textId="77777777" w:rsidR="00AB3894" w:rsidRPr="00AB3894" w:rsidRDefault="00AB3894" w:rsidP="00AB3894">
            <w:pPr>
              <w:pStyle w:val="ListParagraph"/>
              <w:widowControl/>
              <w:spacing w:before="0" w:line="300" w:lineRule="auto"/>
              <w:ind w:left="360"/>
              <w:jc w:val="both"/>
              <w:rPr>
                <w:rFonts w:eastAsia="Times New Roman" w:cs="Arial"/>
                <w:sz w:val="22"/>
                <w:lang w:val="en"/>
              </w:rPr>
            </w:pPr>
          </w:p>
          <w:p w14:paraId="78908138" w14:textId="0CE3F926" w:rsid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Pr>
                <w:rFonts w:eastAsia="Times New Roman" w:cs="Arial"/>
                <w:sz w:val="22"/>
                <w:lang w:val="en"/>
              </w:rPr>
              <w:t>.</w:t>
            </w:r>
          </w:p>
          <w:p w14:paraId="25F9B5F8" w14:textId="0F7AF5EF" w:rsidR="00AB3894" w:rsidRPr="00AB3894" w:rsidRDefault="00AB3894" w:rsidP="00AB3894">
            <w:pPr>
              <w:widowControl/>
              <w:spacing w:before="0" w:line="300" w:lineRule="auto"/>
              <w:ind w:left="0"/>
              <w:jc w:val="both"/>
              <w:rPr>
                <w:rFonts w:eastAsia="Times New Roman" w:cs="Arial"/>
                <w:sz w:val="22"/>
                <w:lang w:val="en"/>
              </w:rPr>
            </w:pPr>
          </w:p>
          <w:p w14:paraId="5ABA4C8F" w14:textId="74A584C9" w:rsid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Adequate, relevant and limited to what is necessary in relation to the purposes for which they are processed</w:t>
            </w:r>
            <w:r>
              <w:rPr>
                <w:rFonts w:eastAsia="Times New Roman" w:cs="Arial"/>
                <w:sz w:val="22"/>
                <w:lang w:val="en"/>
              </w:rPr>
              <w:t>.</w:t>
            </w:r>
          </w:p>
          <w:p w14:paraId="682BF31C" w14:textId="46EE4742" w:rsidR="00AB3894" w:rsidRPr="00AB3894" w:rsidRDefault="00AB3894" w:rsidP="00AB3894">
            <w:pPr>
              <w:widowControl/>
              <w:spacing w:before="0" w:line="300" w:lineRule="auto"/>
              <w:ind w:left="0"/>
              <w:jc w:val="both"/>
              <w:rPr>
                <w:rFonts w:eastAsia="Times New Roman" w:cs="Arial"/>
                <w:sz w:val="22"/>
                <w:lang w:val="en"/>
              </w:rPr>
            </w:pPr>
          </w:p>
          <w:p w14:paraId="3817F6AC" w14:textId="3F1A7273" w:rsid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Accurate and, where necessary, kept up to date; every reasonable step must be taken to ensure that personal data that are inaccurate, having regard to the purposes for which they are processed, are erased or rectified without delay</w:t>
            </w:r>
            <w:r>
              <w:rPr>
                <w:rFonts w:eastAsia="Times New Roman" w:cs="Arial"/>
                <w:sz w:val="22"/>
                <w:lang w:val="en"/>
              </w:rPr>
              <w:t>.</w:t>
            </w:r>
          </w:p>
          <w:p w14:paraId="69423179" w14:textId="3FDEC59B" w:rsidR="00AB3894" w:rsidRPr="00AB3894" w:rsidRDefault="00AB3894" w:rsidP="00AB3894">
            <w:pPr>
              <w:widowControl/>
              <w:spacing w:before="0" w:line="300" w:lineRule="auto"/>
              <w:ind w:left="0"/>
              <w:jc w:val="both"/>
              <w:rPr>
                <w:rFonts w:eastAsia="Times New Roman" w:cs="Arial"/>
                <w:sz w:val="22"/>
                <w:lang w:val="en"/>
              </w:rPr>
            </w:pPr>
          </w:p>
          <w:p w14:paraId="0A5EED78" w14:textId="66073F76" w:rsid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AB3894">
              <w:rPr>
                <w:rFonts w:eastAsia="Times New Roman" w:cs="Arial"/>
                <w:sz w:val="22"/>
                <w:lang w:val="en"/>
              </w:rPr>
              <w:t>organisational</w:t>
            </w:r>
            <w:proofErr w:type="spellEnd"/>
            <w:r w:rsidRPr="00AB3894">
              <w:rPr>
                <w:rFonts w:eastAsia="Times New Roman" w:cs="Arial"/>
                <w:sz w:val="22"/>
                <w:lang w:val="en"/>
              </w:rPr>
              <w:t xml:space="preserve"> measures required by the GDPR in order to safeguard the rights and freedoms of individuals</w:t>
            </w:r>
            <w:r>
              <w:rPr>
                <w:rFonts w:eastAsia="Times New Roman" w:cs="Arial"/>
                <w:sz w:val="22"/>
                <w:lang w:val="en"/>
              </w:rPr>
              <w:t>.</w:t>
            </w:r>
          </w:p>
          <w:p w14:paraId="67D35EB8" w14:textId="7B8CDD00" w:rsidR="00AB3894" w:rsidRPr="00AB3894" w:rsidRDefault="00AB3894" w:rsidP="00AB3894">
            <w:pPr>
              <w:widowControl/>
              <w:spacing w:before="0" w:line="300" w:lineRule="auto"/>
              <w:ind w:left="0"/>
              <w:jc w:val="both"/>
              <w:rPr>
                <w:rFonts w:eastAsia="Times New Roman" w:cs="Arial"/>
                <w:sz w:val="22"/>
                <w:lang w:val="en"/>
              </w:rPr>
            </w:pPr>
          </w:p>
          <w:p w14:paraId="76C8C4EB" w14:textId="77777777" w:rsidR="00AB3894" w:rsidRPr="00AB3894" w:rsidRDefault="00AB3894" w:rsidP="00AB3894">
            <w:pPr>
              <w:pStyle w:val="ListParagraph"/>
              <w:widowControl/>
              <w:numPr>
                <w:ilvl w:val="0"/>
                <w:numId w:val="11"/>
              </w:numPr>
              <w:spacing w:before="0" w:line="300" w:lineRule="auto"/>
              <w:jc w:val="both"/>
              <w:rPr>
                <w:rFonts w:eastAsia="Times New Roman" w:cs="Arial"/>
                <w:sz w:val="22"/>
                <w:lang w:val="en"/>
              </w:rPr>
            </w:pPr>
            <w:r w:rsidRPr="00AB3894">
              <w:rPr>
                <w:rFonts w:eastAsia="Times New Roman" w:cs="Arial"/>
                <w:sz w:val="22"/>
                <w:lang w:val="en"/>
              </w:rPr>
              <w:t xml:space="preserve">Processed in a manner that ensures appropriate security of the personal data, including protection against </w:t>
            </w:r>
            <w:proofErr w:type="spellStart"/>
            <w:r w:rsidRPr="00AB3894">
              <w:rPr>
                <w:rFonts w:eastAsia="Times New Roman" w:cs="Arial"/>
                <w:sz w:val="22"/>
                <w:lang w:val="en"/>
              </w:rPr>
              <w:t>unauthorised</w:t>
            </w:r>
            <w:proofErr w:type="spellEnd"/>
            <w:r w:rsidRPr="00AB3894">
              <w:rPr>
                <w:rFonts w:eastAsia="Times New Roman" w:cs="Arial"/>
                <w:sz w:val="22"/>
                <w:lang w:val="en"/>
              </w:rPr>
              <w:t xml:space="preserve"> or unlawful processing and against accidental loss, destruction or damage, using appropriate technical or </w:t>
            </w:r>
            <w:proofErr w:type="spellStart"/>
            <w:r w:rsidRPr="00AB3894">
              <w:rPr>
                <w:rFonts w:eastAsia="Times New Roman" w:cs="Arial"/>
                <w:sz w:val="22"/>
                <w:lang w:val="en"/>
              </w:rPr>
              <w:t>organisational</w:t>
            </w:r>
            <w:proofErr w:type="spellEnd"/>
            <w:r w:rsidRPr="00AB3894">
              <w:rPr>
                <w:rFonts w:eastAsia="Times New Roman" w:cs="Arial"/>
                <w:sz w:val="22"/>
                <w:lang w:val="en"/>
              </w:rPr>
              <w:t xml:space="preserve"> measures.</w:t>
            </w:r>
          </w:p>
          <w:p w14:paraId="593F1465" w14:textId="77777777" w:rsidR="00AB3894" w:rsidRDefault="00AB3894" w:rsidP="00AB3894">
            <w:pPr>
              <w:ind w:left="0"/>
            </w:pPr>
          </w:p>
          <w:p w14:paraId="3D147C44" w14:textId="6A62540B" w:rsidR="00AB3894" w:rsidRDefault="00AB3894" w:rsidP="00AB3894">
            <w:pPr>
              <w:ind w:left="0"/>
            </w:pPr>
          </w:p>
        </w:tc>
      </w:tr>
    </w:tbl>
    <w:p w14:paraId="763BE890" w14:textId="77777777" w:rsidR="000B2F56" w:rsidRDefault="000B2F56" w:rsidP="000B2F56"/>
    <w:tbl>
      <w:tblPr>
        <w:tblStyle w:val="TableGrid"/>
        <w:tblW w:w="0" w:type="auto"/>
        <w:tblLook w:val="04A0" w:firstRow="1" w:lastRow="0" w:firstColumn="1" w:lastColumn="0" w:noHBand="0" w:noVBand="1"/>
      </w:tblPr>
      <w:tblGrid>
        <w:gridCol w:w="9622"/>
      </w:tblGrid>
      <w:tr w:rsidR="00EE3161" w14:paraId="3DE89D7F" w14:textId="77777777" w:rsidTr="00AB3894">
        <w:tc>
          <w:tcPr>
            <w:tcW w:w="9622" w:type="dxa"/>
          </w:tcPr>
          <w:p w14:paraId="7355CEBA" w14:textId="77777777" w:rsidR="00EE3161" w:rsidRDefault="00AA7DD5" w:rsidP="00AA7DD5">
            <w:pPr>
              <w:pStyle w:val="Subtitle"/>
              <w:ind w:left="0"/>
            </w:pPr>
            <w:r w:rsidRPr="00AA7DD5">
              <w:rPr>
                <w:caps w:val="0"/>
              </w:rPr>
              <w:t>3. EXPLANATION OF KEY TERMS</w:t>
            </w:r>
          </w:p>
        </w:tc>
      </w:tr>
      <w:tr w:rsidR="00AB3894" w14:paraId="4B11CEFE" w14:textId="77777777" w:rsidTr="00AB3894">
        <w:trPr>
          <w:trHeight w:val="1501"/>
        </w:trPr>
        <w:tc>
          <w:tcPr>
            <w:tcW w:w="9622" w:type="dxa"/>
          </w:tcPr>
          <w:p w14:paraId="73DC33EF" w14:textId="77777777" w:rsidR="00AB3894" w:rsidRPr="00AB3894" w:rsidRDefault="00AB3894" w:rsidP="00AB3894">
            <w:pPr>
              <w:spacing w:line="300" w:lineRule="auto"/>
              <w:ind w:left="0"/>
              <w:jc w:val="both"/>
              <w:rPr>
                <w:rFonts w:eastAsia="Times New Roman" w:cs="Arial"/>
                <w:sz w:val="22"/>
                <w:szCs w:val="24"/>
              </w:rPr>
            </w:pPr>
            <w:r w:rsidRPr="00AB3894">
              <w:rPr>
                <w:rFonts w:eastAsia="Times New Roman" w:cs="Arial"/>
                <w:b/>
                <w:sz w:val="22"/>
                <w:szCs w:val="24"/>
              </w:rPr>
              <w:t>Consent</w:t>
            </w:r>
            <w:r w:rsidRPr="00AB3894">
              <w:rPr>
                <w:rFonts w:eastAsia="Times New Roman" w:cs="Arial"/>
                <w:sz w:val="22"/>
                <w:szCs w:val="24"/>
              </w:rPr>
              <w:t xml:space="preserve">- requires that there is an active agreement between the organisation and the data subject. Where consent is obtained, it must be explicit and not implied if the subject does not actively object. </w:t>
            </w:r>
          </w:p>
          <w:p w14:paraId="61C142AC" w14:textId="77777777" w:rsidR="00AB3894" w:rsidRPr="00AB3894" w:rsidRDefault="00AB3894" w:rsidP="00AB3894">
            <w:pPr>
              <w:spacing w:line="300" w:lineRule="auto"/>
              <w:ind w:left="0"/>
              <w:jc w:val="both"/>
              <w:rPr>
                <w:rFonts w:eastAsia="Times New Roman" w:cs="Arial"/>
                <w:sz w:val="22"/>
                <w:szCs w:val="24"/>
              </w:rPr>
            </w:pPr>
          </w:p>
          <w:p w14:paraId="4E279B39" w14:textId="77777777" w:rsidR="00AB3894" w:rsidRPr="00AB3894" w:rsidRDefault="00AB3894" w:rsidP="00AB3894">
            <w:pPr>
              <w:spacing w:line="300" w:lineRule="auto"/>
              <w:ind w:left="0"/>
              <w:jc w:val="both"/>
              <w:rPr>
                <w:rFonts w:eastAsia="Times New Roman" w:cs="Arial"/>
                <w:bCs/>
                <w:sz w:val="22"/>
                <w:szCs w:val="24"/>
                <w:lang w:val="en" w:eastAsia="en-GB"/>
              </w:rPr>
            </w:pPr>
            <w:r w:rsidRPr="00AB3894">
              <w:rPr>
                <w:rFonts w:eastAsia="Times New Roman" w:cs="Arial"/>
                <w:b/>
                <w:bCs/>
                <w:sz w:val="22"/>
                <w:szCs w:val="24"/>
                <w:lang w:val="en" w:eastAsia="en-GB"/>
              </w:rPr>
              <w:t xml:space="preserve">Data </w:t>
            </w:r>
            <w:proofErr w:type="gramStart"/>
            <w:r w:rsidRPr="00AB3894">
              <w:rPr>
                <w:rFonts w:eastAsia="Times New Roman" w:cs="Arial"/>
                <w:b/>
                <w:bCs/>
                <w:sz w:val="22"/>
                <w:szCs w:val="24"/>
                <w:lang w:val="en" w:eastAsia="en-GB"/>
              </w:rPr>
              <w:t>controller  -</w:t>
            </w:r>
            <w:proofErr w:type="gramEnd"/>
            <w:r w:rsidRPr="00AB3894">
              <w:rPr>
                <w:rFonts w:eastAsia="Times New Roman" w:cs="Arial"/>
                <w:b/>
                <w:bCs/>
                <w:sz w:val="22"/>
                <w:szCs w:val="24"/>
                <w:lang w:val="en" w:eastAsia="en-GB"/>
              </w:rPr>
              <w:t xml:space="preserve"> </w:t>
            </w:r>
            <w:r w:rsidRPr="00AB3894">
              <w:rPr>
                <w:rFonts w:eastAsia="Times New Roman" w:cs="Arial"/>
                <w:bCs/>
                <w:sz w:val="22"/>
                <w:szCs w:val="24"/>
                <w:lang w:val="en" w:eastAsia="en-GB"/>
              </w:rPr>
              <w:t>A data controller determines the purposes and means of processing personal data.</w:t>
            </w:r>
          </w:p>
          <w:p w14:paraId="607AB245" w14:textId="77777777" w:rsidR="00AB3894" w:rsidRPr="00AB3894" w:rsidRDefault="00AB3894" w:rsidP="00AB3894">
            <w:pPr>
              <w:spacing w:line="300" w:lineRule="auto"/>
              <w:ind w:left="0"/>
              <w:jc w:val="both"/>
              <w:rPr>
                <w:rFonts w:eastAsia="Times New Roman" w:cs="Arial"/>
                <w:b/>
                <w:bCs/>
                <w:sz w:val="22"/>
                <w:szCs w:val="24"/>
                <w:lang w:val="en" w:eastAsia="en-GB"/>
              </w:rPr>
            </w:pPr>
          </w:p>
          <w:p w14:paraId="5E15F5BA" w14:textId="77777777" w:rsidR="00AB3894" w:rsidRPr="00AB3894" w:rsidRDefault="00AB3894" w:rsidP="00AB3894">
            <w:pPr>
              <w:spacing w:line="300" w:lineRule="auto"/>
              <w:ind w:left="0"/>
              <w:jc w:val="both"/>
              <w:rPr>
                <w:rFonts w:eastAsia="Times New Roman" w:cs="Arial"/>
                <w:bCs/>
                <w:sz w:val="22"/>
                <w:szCs w:val="24"/>
                <w:lang w:val="en" w:eastAsia="en-GB"/>
              </w:rPr>
            </w:pPr>
            <w:r w:rsidRPr="00AB3894">
              <w:rPr>
                <w:rFonts w:eastAsia="Times New Roman" w:cs="Arial"/>
                <w:b/>
                <w:bCs/>
                <w:sz w:val="22"/>
                <w:szCs w:val="24"/>
                <w:lang w:val="en" w:eastAsia="en-GB"/>
              </w:rPr>
              <w:lastRenderedPageBreak/>
              <w:t xml:space="preserve">Data processor - </w:t>
            </w:r>
            <w:r w:rsidRPr="00AB3894">
              <w:rPr>
                <w:rFonts w:eastAsia="Times New Roman" w:cs="Arial"/>
                <w:bCs/>
                <w:sz w:val="22"/>
                <w:szCs w:val="24"/>
                <w:lang w:val="en" w:eastAsia="en-GB"/>
              </w:rPr>
              <w:t>A processor is responsible for processing personal data on behalf of a controller</w:t>
            </w:r>
          </w:p>
          <w:p w14:paraId="0B80D9A8" w14:textId="77777777" w:rsidR="00AB3894" w:rsidRPr="00AB3894" w:rsidRDefault="00AB3894" w:rsidP="00AB3894">
            <w:pPr>
              <w:spacing w:line="300" w:lineRule="auto"/>
              <w:ind w:left="0"/>
              <w:jc w:val="both"/>
              <w:rPr>
                <w:rFonts w:eastAsia="Times New Roman" w:cs="Arial"/>
                <w:b/>
                <w:bCs/>
                <w:sz w:val="22"/>
                <w:szCs w:val="24"/>
                <w:lang w:val="en" w:eastAsia="en-GB"/>
              </w:rPr>
            </w:pPr>
          </w:p>
          <w:p w14:paraId="692AC9E3" w14:textId="77777777" w:rsidR="00AB3894" w:rsidRPr="00AB3894" w:rsidRDefault="00AB3894" w:rsidP="00AB3894">
            <w:pPr>
              <w:spacing w:after="240" w:line="300" w:lineRule="auto"/>
              <w:ind w:left="0"/>
              <w:jc w:val="both"/>
              <w:rPr>
                <w:rFonts w:eastAsia="Times New Roman" w:cs="Arial"/>
                <w:bCs/>
                <w:sz w:val="22"/>
                <w:szCs w:val="24"/>
                <w:lang w:val="en" w:eastAsia="en-GB"/>
              </w:rPr>
            </w:pPr>
            <w:r w:rsidRPr="00AB3894">
              <w:rPr>
                <w:rFonts w:eastAsia="Times New Roman" w:cs="Arial"/>
                <w:b/>
                <w:bCs/>
                <w:sz w:val="22"/>
                <w:szCs w:val="24"/>
                <w:lang w:val="en" w:eastAsia="en-GB"/>
              </w:rPr>
              <w:t xml:space="preserve">Data subject - </w:t>
            </w:r>
            <w:r w:rsidRPr="00AB3894">
              <w:rPr>
                <w:rFonts w:eastAsia="Times New Roman" w:cs="Arial"/>
                <w:bCs/>
                <w:sz w:val="22"/>
                <w:szCs w:val="24"/>
                <w:lang w:val="en" w:eastAsia="en-GB"/>
              </w:rPr>
              <w:t>A</w:t>
            </w:r>
            <w:r w:rsidRPr="00AB3894">
              <w:rPr>
                <w:rFonts w:eastAsia="Times New Roman" w:cs="Arial"/>
                <w:bCs/>
                <w:sz w:val="22"/>
                <w:szCs w:val="24"/>
                <w:lang w:val="en-US" w:eastAsia="en-GB"/>
              </w:rPr>
              <w:t>n identifiable natural person who can be identified, directly or indirectly form data held.</w:t>
            </w:r>
          </w:p>
          <w:p w14:paraId="298FEAB9" w14:textId="77777777" w:rsidR="00AB3894" w:rsidRPr="00AB3894" w:rsidRDefault="00AB3894" w:rsidP="00AB3894">
            <w:pPr>
              <w:spacing w:after="240" w:line="300" w:lineRule="auto"/>
              <w:ind w:left="0"/>
              <w:jc w:val="both"/>
              <w:rPr>
                <w:rFonts w:eastAsia="Times New Roman" w:cs="Arial"/>
                <w:sz w:val="22"/>
                <w:szCs w:val="24"/>
                <w:lang w:val="en" w:eastAsia="en-GB"/>
              </w:rPr>
            </w:pPr>
            <w:r w:rsidRPr="00AB3894">
              <w:rPr>
                <w:rFonts w:eastAsia="Times New Roman" w:cs="Arial"/>
                <w:b/>
                <w:bCs/>
                <w:sz w:val="22"/>
                <w:szCs w:val="24"/>
                <w:lang w:val="en" w:eastAsia="en-GB"/>
              </w:rPr>
              <w:t xml:space="preserve">Personal data </w:t>
            </w:r>
            <w:r w:rsidRPr="00AB3894">
              <w:rPr>
                <w:rFonts w:eastAsia="Times New Roman" w:cs="Arial"/>
                <w:sz w:val="22"/>
                <w:szCs w:val="24"/>
                <w:lang w:val="en" w:eastAsia="en-GB"/>
              </w:rPr>
              <w:t>- Personal data means information about a natural person who can be identified from that information and other information which is in, or likely to come into, the data controller's possession</w:t>
            </w:r>
          </w:p>
          <w:p w14:paraId="112C8C35" w14:textId="77777777" w:rsidR="00AB3894" w:rsidRPr="00AB3894" w:rsidRDefault="00AB3894" w:rsidP="00AB3894">
            <w:pPr>
              <w:spacing w:after="240" w:line="300" w:lineRule="auto"/>
              <w:ind w:left="0"/>
              <w:jc w:val="both"/>
              <w:rPr>
                <w:rFonts w:eastAsia="Times New Roman" w:cs="Arial"/>
                <w:sz w:val="22"/>
                <w:szCs w:val="24"/>
                <w:lang w:val="en" w:eastAsia="en-GB"/>
              </w:rPr>
            </w:pPr>
            <w:r w:rsidRPr="00AB3894">
              <w:rPr>
                <w:rFonts w:eastAsia="Times New Roman" w:cs="Arial"/>
                <w:b/>
                <w:bCs/>
                <w:sz w:val="22"/>
                <w:szCs w:val="24"/>
                <w:lang w:val="en" w:eastAsia="en-GB"/>
              </w:rPr>
              <w:t xml:space="preserve">Processing - </w:t>
            </w:r>
            <w:r w:rsidRPr="00AB3894">
              <w:rPr>
                <w:rFonts w:eastAsia="Times New Roman" w:cs="Arial"/>
                <w:bCs/>
                <w:sz w:val="22"/>
                <w:szCs w:val="24"/>
                <w:lang w:val="en" w:eastAsia="en-GB"/>
              </w:rPr>
              <w:t>P</w:t>
            </w:r>
            <w:r w:rsidRPr="00AB3894">
              <w:rPr>
                <w:rFonts w:eastAsia="Times New Roman" w:cs="Arial"/>
                <w:sz w:val="22"/>
                <w:szCs w:val="24"/>
                <w:lang w:val="en" w:eastAsia="en-GB"/>
              </w:rPr>
              <w:t>rocessing means obtaining, recording or holding the data or carrying out any operation or set of operations on data.</w:t>
            </w:r>
          </w:p>
          <w:p w14:paraId="750B8E4A" w14:textId="77777777" w:rsidR="00AB3894" w:rsidRPr="00AB3894" w:rsidRDefault="00AB3894" w:rsidP="00AB3894">
            <w:pPr>
              <w:spacing w:after="240" w:line="300" w:lineRule="auto"/>
              <w:ind w:left="0"/>
              <w:jc w:val="both"/>
              <w:rPr>
                <w:rFonts w:eastAsia="Times New Roman" w:cs="Arial"/>
                <w:b/>
                <w:sz w:val="22"/>
                <w:szCs w:val="24"/>
                <w:lang w:val="en" w:eastAsia="en-GB"/>
              </w:rPr>
            </w:pPr>
            <w:r w:rsidRPr="00AB3894">
              <w:rPr>
                <w:rFonts w:eastAsia="Times New Roman" w:cs="Arial"/>
                <w:b/>
                <w:sz w:val="22"/>
                <w:szCs w:val="24"/>
                <w:lang w:val="en" w:eastAsia="en-GB"/>
              </w:rPr>
              <w:t xml:space="preserve">Relevant Filing System - </w:t>
            </w:r>
            <w:r w:rsidRPr="00AB3894">
              <w:rPr>
                <w:rFonts w:eastAsia="Times New Roman" w:cs="Arial"/>
                <w:sz w:val="22"/>
                <w:szCs w:val="24"/>
                <w:lang w:val="en" w:eastAsia="en-GB"/>
              </w:rPr>
              <w:t xml:space="preserve">This is a set of information about individuals, held manually or on a computer, which is structured either by name or by another criterion, such as a course title so that specific information is readily accessible to the person using or processing. </w:t>
            </w:r>
          </w:p>
          <w:p w14:paraId="575EA032" w14:textId="77777777" w:rsidR="00AB3894" w:rsidRPr="00AB3894" w:rsidRDefault="00AB3894" w:rsidP="00AB3894">
            <w:pPr>
              <w:spacing w:after="240" w:line="300" w:lineRule="auto"/>
              <w:ind w:left="0"/>
              <w:jc w:val="both"/>
              <w:rPr>
                <w:rFonts w:eastAsia="Times New Roman" w:cs="Arial"/>
                <w:b/>
                <w:sz w:val="22"/>
                <w:szCs w:val="24"/>
                <w:lang w:val="en" w:eastAsia="en-GB"/>
              </w:rPr>
            </w:pPr>
            <w:r w:rsidRPr="00AB3894">
              <w:rPr>
                <w:rFonts w:eastAsia="Times New Roman" w:cs="Arial"/>
                <w:b/>
                <w:sz w:val="22"/>
                <w:szCs w:val="24"/>
                <w:lang w:val="en" w:eastAsia="en-GB"/>
              </w:rPr>
              <w:t xml:space="preserve">Sensitive Data (Special Category) - </w:t>
            </w:r>
            <w:r w:rsidRPr="00AB3894">
              <w:rPr>
                <w:rFonts w:eastAsia="Times New Roman" w:cs="Arial"/>
                <w:sz w:val="22"/>
                <w:szCs w:val="24"/>
                <w:lang w:val="en" w:eastAsia="en-GB"/>
              </w:rPr>
              <w:t xml:space="preserve">Data is considered sensitive if it about an individual’s race, political opinions, religious beliefs, trade union membership or </w:t>
            </w:r>
            <w:proofErr w:type="spellStart"/>
            <w:proofErr w:type="gramStart"/>
            <w:r w:rsidRPr="00AB3894">
              <w:rPr>
                <w:rFonts w:eastAsia="Times New Roman" w:cs="Arial"/>
                <w:sz w:val="22"/>
                <w:szCs w:val="24"/>
                <w:lang w:val="en" w:eastAsia="en-GB"/>
              </w:rPr>
              <w:t>non membership</w:t>
            </w:r>
            <w:proofErr w:type="spellEnd"/>
            <w:proofErr w:type="gramEnd"/>
            <w:r w:rsidRPr="00AB3894">
              <w:rPr>
                <w:rFonts w:eastAsia="Times New Roman" w:cs="Arial"/>
                <w:sz w:val="22"/>
                <w:szCs w:val="24"/>
                <w:lang w:val="en" w:eastAsia="en-GB"/>
              </w:rPr>
              <w:t xml:space="preserve">, their physical or mental health, sex life or criminal record. </w:t>
            </w:r>
          </w:p>
          <w:p w14:paraId="64348CFB" w14:textId="77777777" w:rsidR="00AB3894" w:rsidRPr="00AB3894" w:rsidRDefault="00AB3894" w:rsidP="00AB3894">
            <w:pPr>
              <w:spacing w:after="240" w:line="300" w:lineRule="auto"/>
              <w:ind w:left="0"/>
              <w:jc w:val="both"/>
              <w:rPr>
                <w:rFonts w:eastAsia="Times New Roman" w:cs="Arial"/>
                <w:sz w:val="22"/>
                <w:szCs w:val="24"/>
                <w:lang w:val="en" w:eastAsia="en-GB"/>
              </w:rPr>
            </w:pPr>
            <w:r w:rsidRPr="00AB3894">
              <w:rPr>
                <w:rFonts w:eastAsia="Times New Roman" w:cs="Arial"/>
                <w:b/>
                <w:bCs/>
                <w:sz w:val="22"/>
                <w:szCs w:val="24"/>
                <w:lang w:val="en" w:eastAsia="en-GB"/>
              </w:rPr>
              <w:t xml:space="preserve">Data subjects rights - </w:t>
            </w:r>
            <w:r w:rsidRPr="00AB3894">
              <w:rPr>
                <w:rFonts w:eastAsia="Times New Roman" w:cs="Arial"/>
                <w:sz w:val="22"/>
                <w:szCs w:val="24"/>
                <w:lang w:val="en" w:eastAsia="en-GB"/>
              </w:rPr>
              <w:t xml:space="preserve">Under GDPR, data subject’s rights are enhanced. Individuals can ask to see the information about themselves that is held on computer and in some paper records. They have the right to receive this information in an electronic, accessible format, free of charge, within 1 month of the request being made. Data subjects also have the right to withdraw consent and to have their personal data erased. As Sunderland college relies less on consent and more on ‘contract’ and ‘legitimate interests’ as a lawful basis for processing, subject requests will always be viewed in conjunction with the prevailing lawful bases. </w:t>
            </w:r>
          </w:p>
          <w:p w14:paraId="17EF1BFF" w14:textId="4F116BD3" w:rsidR="00AB3894" w:rsidRPr="00AB3894" w:rsidRDefault="00AB3894" w:rsidP="00AB3894">
            <w:pPr>
              <w:ind w:left="0"/>
              <w:jc w:val="both"/>
              <w:rPr>
                <w:sz w:val="22"/>
              </w:rPr>
            </w:pPr>
            <w:r w:rsidRPr="00AB3894">
              <w:rPr>
                <w:rFonts w:eastAsia="Times New Roman" w:cs="Arial"/>
                <w:b/>
                <w:sz w:val="22"/>
                <w:szCs w:val="24"/>
                <w:lang w:val="en" w:eastAsia="en-GB"/>
              </w:rPr>
              <w:t xml:space="preserve">Privacy Impact Assessment – </w:t>
            </w:r>
            <w:r w:rsidRPr="00AB3894">
              <w:rPr>
                <w:rFonts w:eastAsia="Times New Roman" w:cs="Arial"/>
                <w:sz w:val="22"/>
                <w:szCs w:val="24"/>
                <w:lang w:val="en" w:eastAsia="en-GB"/>
              </w:rPr>
              <w:t xml:space="preserve">a procedure by which each new system / activity undergoes a risk assessment to identify any potential risks to personal data, along with action planning of activities to mitigate risks. </w:t>
            </w:r>
          </w:p>
        </w:tc>
      </w:tr>
    </w:tbl>
    <w:p w14:paraId="053EB973" w14:textId="77777777" w:rsidR="00EE3161" w:rsidRDefault="00EE3161" w:rsidP="000B2F56"/>
    <w:tbl>
      <w:tblPr>
        <w:tblStyle w:val="TableGrid"/>
        <w:tblW w:w="0" w:type="auto"/>
        <w:tblLook w:val="04A0" w:firstRow="1" w:lastRow="0" w:firstColumn="1" w:lastColumn="0" w:noHBand="0" w:noVBand="1"/>
      </w:tblPr>
      <w:tblGrid>
        <w:gridCol w:w="9622"/>
      </w:tblGrid>
      <w:tr w:rsidR="00163690" w14:paraId="5816FC60" w14:textId="77777777" w:rsidTr="00E6124E">
        <w:tc>
          <w:tcPr>
            <w:tcW w:w="9622" w:type="dxa"/>
          </w:tcPr>
          <w:p w14:paraId="525D15B7" w14:textId="77777777" w:rsidR="00163690" w:rsidRDefault="00AA7DD5" w:rsidP="00AA7DD5">
            <w:pPr>
              <w:pStyle w:val="Subtitle"/>
              <w:ind w:left="0"/>
            </w:pPr>
            <w:r w:rsidRPr="00AA7DD5">
              <w:rPr>
                <w:caps w:val="0"/>
              </w:rPr>
              <w:t>4. RESPONSIBILITIES AND DUTIES</w:t>
            </w:r>
          </w:p>
        </w:tc>
      </w:tr>
      <w:tr w:rsidR="008E5222" w:rsidRPr="00F732A2" w14:paraId="12B1D92F" w14:textId="77777777" w:rsidTr="00E6124E">
        <w:tc>
          <w:tcPr>
            <w:tcW w:w="9622" w:type="dxa"/>
          </w:tcPr>
          <w:p w14:paraId="04DCC220" w14:textId="57F66716" w:rsidR="008E5222" w:rsidRPr="008E5222" w:rsidRDefault="008E5222" w:rsidP="008E5222">
            <w:pPr>
              <w:ind w:left="0"/>
              <w:rPr>
                <w:b/>
                <w:color w:val="007396"/>
              </w:rPr>
            </w:pPr>
            <w:r w:rsidRPr="008E5222">
              <w:rPr>
                <w:b/>
                <w:color w:val="007396"/>
              </w:rPr>
              <w:t>THE COLLEGE GOVERNORS</w:t>
            </w:r>
            <w:r w:rsidR="0028562D">
              <w:rPr>
                <w:b/>
                <w:color w:val="007396"/>
              </w:rPr>
              <w:t xml:space="preserve"> AND SENIOR LEADERSHIP</w:t>
            </w:r>
            <w:r w:rsidR="00AB3894">
              <w:rPr>
                <w:b/>
                <w:color w:val="007396"/>
              </w:rPr>
              <w:t xml:space="preserve"> TEAM</w:t>
            </w:r>
          </w:p>
          <w:p w14:paraId="240FF189" w14:textId="1A86E168" w:rsidR="008E5222" w:rsidRPr="00F732A2" w:rsidRDefault="008E5222" w:rsidP="00D474C6">
            <w:pPr>
              <w:ind w:left="0"/>
              <w:rPr>
                <w:b/>
              </w:rPr>
            </w:pPr>
            <w:r w:rsidRPr="008E5222">
              <w:rPr>
                <w:b/>
              </w:rPr>
              <w:t>It is the responsibility of the Board of Governors</w:t>
            </w:r>
            <w:r w:rsidR="0028562D">
              <w:rPr>
                <w:b/>
              </w:rPr>
              <w:t xml:space="preserve"> and the Senior Leadership Team</w:t>
            </w:r>
            <w:r w:rsidRPr="008E5222">
              <w:rPr>
                <w:b/>
              </w:rPr>
              <w:t xml:space="preserve"> to:</w:t>
            </w:r>
          </w:p>
        </w:tc>
      </w:tr>
      <w:tr w:rsidR="008E5222" w14:paraId="406BC4A1" w14:textId="77777777" w:rsidTr="009666E9">
        <w:trPr>
          <w:trHeight w:val="897"/>
        </w:trPr>
        <w:tc>
          <w:tcPr>
            <w:tcW w:w="9622" w:type="dxa"/>
          </w:tcPr>
          <w:p w14:paraId="519BC93C" w14:textId="77777777" w:rsidR="00AB3894" w:rsidRPr="00692E4B" w:rsidRDefault="00AB3894" w:rsidP="00692E4B">
            <w:pPr>
              <w:pStyle w:val="ListParagraph"/>
              <w:numPr>
                <w:ilvl w:val="0"/>
                <w:numId w:val="14"/>
              </w:numPr>
              <w:spacing w:line="300" w:lineRule="auto"/>
              <w:jc w:val="both"/>
              <w:rPr>
                <w:rFonts w:eastAsia="Times New Roman" w:cs="Arial"/>
                <w:sz w:val="22"/>
              </w:rPr>
            </w:pPr>
            <w:r w:rsidRPr="00692E4B">
              <w:rPr>
                <w:rFonts w:eastAsia="Times New Roman" w:cs="Arial"/>
                <w:sz w:val="22"/>
              </w:rPr>
              <w:t xml:space="preserve">Ensure that the college has a nominated Data Protection Officer. </w:t>
            </w:r>
          </w:p>
          <w:p w14:paraId="6083D5F7" w14:textId="77777777" w:rsidR="00AB3894" w:rsidRPr="00AB3894" w:rsidRDefault="00AB3894" w:rsidP="00AB3894">
            <w:pPr>
              <w:spacing w:line="300" w:lineRule="auto"/>
              <w:ind w:left="0"/>
              <w:jc w:val="both"/>
              <w:rPr>
                <w:rFonts w:eastAsia="Times New Roman" w:cs="Arial"/>
                <w:sz w:val="22"/>
                <w:szCs w:val="24"/>
              </w:rPr>
            </w:pPr>
          </w:p>
          <w:p w14:paraId="3CB461DC" w14:textId="77777777" w:rsidR="00AB3894" w:rsidRPr="00692E4B" w:rsidRDefault="00AB3894" w:rsidP="00692E4B">
            <w:pPr>
              <w:pStyle w:val="ListParagraph"/>
              <w:numPr>
                <w:ilvl w:val="0"/>
                <w:numId w:val="14"/>
              </w:numPr>
              <w:spacing w:line="300" w:lineRule="auto"/>
              <w:jc w:val="both"/>
              <w:rPr>
                <w:rFonts w:eastAsia="Times New Roman" w:cs="Arial"/>
                <w:sz w:val="22"/>
              </w:rPr>
            </w:pPr>
            <w:r w:rsidRPr="00692E4B">
              <w:rPr>
                <w:rFonts w:eastAsia="Times New Roman" w:cs="Arial"/>
                <w:sz w:val="22"/>
              </w:rPr>
              <w:t>Ensure that appropriate systems and procedures exist in order to comply with Data Protection legislation. Procedures are listed in section 5.</w:t>
            </w:r>
          </w:p>
          <w:p w14:paraId="6F1B1BCC" w14:textId="77777777" w:rsidR="00AB3894" w:rsidRPr="00AB3894" w:rsidRDefault="00AB3894" w:rsidP="00AB3894">
            <w:pPr>
              <w:spacing w:line="300" w:lineRule="auto"/>
              <w:ind w:left="0"/>
              <w:jc w:val="both"/>
              <w:rPr>
                <w:rFonts w:eastAsia="Times New Roman" w:cs="Arial"/>
                <w:sz w:val="22"/>
                <w:szCs w:val="24"/>
              </w:rPr>
            </w:pPr>
          </w:p>
          <w:p w14:paraId="7E064A01" w14:textId="77777777" w:rsidR="00AB3894" w:rsidRPr="00692E4B" w:rsidRDefault="00AB3894" w:rsidP="00692E4B">
            <w:pPr>
              <w:pStyle w:val="ListParagraph"/>
              <w:numPr>
                <w:ilvl w:val="0"/>
                <w:numId w:val="14"/>
              </w:numPr>
              <w:spacing w:line="300" w:lineRule="auto"/>
              <w:jc w:val="both"/>
              <w:rPr>
                <w:rFonts w:eastAsia="Times New Roman" w:cs="Arial"/>
                <w:sz w:val="22"/>
              </w:rPr>
            </w:pPr>
            <w:r w:rsidRPr="00692E4B">
              <w:rPr>
                <w:rFonts w:eastAsia="Times New Roman" w:cs="Arial"/>
                <w:sz w:val="22"/>
              </w:rPr>
              <w:t xml:space="preserve">Ensure that the college replaces current Data Protection Registration with the Information Commissioner’s Office with Statutory ICO fee when current registration fee expires. </w:t>
            </w:r>
          </w:p>
          <w:p w14:paraId="525213F4" w14:textId="77777777" w:rsidR="00AB3894" w:rsidRPr="00AB3894" w:rsidRDefault="00AB3894" w:rsidP="00AB3894">
            <w:pPr>
              <w:spacing w:line="300" w:lineRule="auto"/>
              <w:ind w:left="0"/>
              <w:jc w:val="both"/>
              <w:rPr>
                <w:rFonts w:eastAsia="Times New Roman" w:cs="Arial"/>
                <w:sz w:val="22"/>
                <w:szCs w:val="24"/>
              </w:rPr>
            </w:pPr>
          </w:p>
          <w:p w14:paraId="31D460C4" w14:textId="77777777" w:rsidR="00AB3894" w:rsidRPr="00692E4B" w:rsidRDefault="00AB3894" w:rsidP="00692E4B">
            <w:pPr>
              <w:pStyle w:val="ListParagraph"/>
              <w:numPr>
                <w:ilvl w:val="0"/>
                <w:numId w:val="14"/>
              </w:numPr>
              <w:spacing w:line="300" w:lineRule="auto"/>
              <w:jc w:val="both"/>
              <w:rPr>
                <w:rFonts w:eastAsia="Times New Roman" w:cs="Arial"/>
                <w:sz w:val="22"/>
              </w:rPr>
            </w:pPr>
            <w:r w:rsidRPr="00692E4B">
              <w:rPr>
                <w:rFonts w:eastAsia="Times New Roman" w:cs="Arial"/>
                <w:sz w:val="22"/>
              </w:rPr>
              <w:t>Ensure that the college provides all staff and students and other relevant users with information about the college’s Data Protection Policy and Procedures, to be included in the College Charter, Staff and Student Handbook. The Policy can also be accessed electronically</w:t>
            </w:r>
          </w:p>
          <w:p w14:paraId="4BE58D55" w14:textId="63FE3DD5" w:rsidR="008E5222" w:rsidRPr="00E6124E" w:rsidRDefault="008E5222" w:rsidP="00E6124E">
            <w:pPr>
              <w:ind w:left="0"/>
              <w:jc w:val="both"/>
              <w:rPr>
                <w:rFonts w:cs="Arial"/>
              </w:rPr>
            </w:pPr>
          </w:p>
        </w:tc>
      </w:tr>
      <w:tr w:rsidR="00AC6AEB" w14:paraId="1D5C2E8E" w14:textId="77777777" w:rsidTr="00E6124E">
        <w:trPr>
          <w:trHeight w:val="368"/>
        </w:trPr>
        <w:tc>
          <w:tcPr>
            <w:tcW w:w="9622" w:type="dxa"/>
          </w:tcPr>
          <w:p w14:paraId="2126C875" w14:textId="77777777" w:rsidR="00AC6AEB" w:rsidRDefault="00AC6AEB" w:rsidP="004F0225">
            <w:pPr>
              <w:rPr>
                <w:b/>
                <w:color w:val="007396"/>
              </w:rPr>
            </w:pPr>
            <w:r>
              <w:rPr>
                <w:b/>
                <w:color w:val="007396"/>
              </w:rPr>
              <w:lastRenderedPageBreak/>
              <w:t>Data Protection Officer</w:t>
            </w:r>
          </w:p>
          <w:p w14:paraId="157AA6C2" w14:textId="3BA6F2C3" w:rsidR="00AC6AEB" w:rsidRPr="00AC6AEB" w:rsidRDefault="00AC6AEB" w:rsidP="00AC6AEB">
            <w:pPr>
              <w:rPr>
                <w:color w:val="404040" w:themeColor="text1" w:themeTint="BF"/>
                <w:sz w:val="22"/>
                <w:szCs w:val="22"/>
              </w:rPr>
            </w:pPr>
            <w:r w:rsidRPr="00AC6AEB">
              <w:rPr>
                <w:color w:val="404040" w:themeColor="text1" w:themeTint="BF"/>
                <w:sz w:val="22"/>
                <w:szCs w:val="22"/>
              </w:rPr>
              <w:t>I</w:t>
            </w:r>
            <w:r w:rsidRPr="00AC6AEB">
              <w:rPr>
                <w:color w:val="404040" w:themeColor="text1" w:themeTint="BF"/>
              </w:rPr>
              <w:t>t is the respons</w:t>
            </w:r>
            <w:r>
              <w:rPr>
                <w:color w:val="404040" w:themeColor="text1" w:themeTint="BF"/>
              </w:rPr>
              <w:t>ibility of the Data Protection O</w:t>
            </w:r>
            <w:r w:rsidRPr="00AC6AEB">
              <w:rPr>
                <w:color w:val="404040" w:themeColor="text1" w:themeTint="BF"/>
              </w:rPr>
              <w:t>fficer</w:t>
            </w:r>
            <w:r>
              <w:rPr>
                <w:color w:val="404040" w:themeColor="text1" w:themeTint="BF"/>
              </w:rPr>
              <w:t xml:space="preserve"> (DPO)</w:t>
            </w:r>
            <w:r w:rsidRPr="00AC6AEB">
              <w:rPr>
                <w:color w:val="404040" w:themeColor="text1" w:themeTint="BF"/>
              </w:rPr>
              <w:t xml:space="preserve"> to:</w:t>
            </w:r>
          </w:p>
        </w:tc>
      </w:tr>
      <w:tr w:rsidR="00AC6AEB" w14:paraId="538B78E5" w14:textId="77777777" w:rsidTr="00E6124E">
        <w:trPr>
          <w:trHeight w:val="368"/>
        </w:trPr>
        <w:tc>
          <w:tcPr>
            <w:tcW w:w="9622" w:type="dxa"/>
          </w:tcPr>
          <w:p w14:paraId="5A9C0FD5" w14:textId="0762C945" w:rsidR="009A6A68" w:rsidRDefault="00692E4B" w:rsidP="00763051">
            <w:pPr>
              <w:pStyle w:val="ListParagraph"/>
              <w:widowControl/>
              <w:numPr>
                <w:ilvl w:val="0"/>
                <w:numId w:val="13"/>
              </w:numPr>
              <w:spacing w:before="0" w:line="259" w:lineRule="auto"/>
              <w:rPr>
                <w:sz w:val="22"/>
                <w:szCs w:val="22"/>
              </w:rPr>
            </w:pPr>
            <w:r>
              <w:rPr>
                <w:sz w:val="22"/>
                <w:szCs w:val="22"/>
              </w:rPr>
              <w:t>Monitor</w:t>
            </w:r>
            <w:r w:rsidR="009A6A68" w:rsidRPr="009A6A68">
              <w:rPr>
                <w:sz w:val="22"/>
                <w:szCs w:val="22"/>
              </w:rPr>
              <w:t xml:space="preserve"> data protection compliance</w:t>
            </w:r>
            <w:r>
              <w:rPr>
                <w:sz w:val="22"/>
                <w:szCs w:val="22"/>
              </w:rPr>
              <w:t xml:space="preserve"> against</w:t>
            </w:r>
            <w:r w:rsidR="00E44A74">
              <w:rPr>
                <w:sz w:val="22"/>
                <w:szCs w:val="22"/>
              </w:rPr>
              <w:t xml:space="preserve"> privacy </w:t>
            </w:r>
            <w:r w:rsidR="009A6A68" w:rsidRPr="009A6A68">
              <w:rPr>
                <w:sz w:val="22"/>
                <w:szCs w:val="22"/>
              </w:rPr>
              <w:t>rights</w:t>
            </w:r>
            <w:r w:rsidR="00E44A74">
              <w:rPr>
                <w:sz w:val="22"/>
                <w:szCs w:val="22"/>
              </w:rPr>
              <w:t xml:space="preserve">, data </w:t>
            </w:r>
            <w:r w:rsidR="009A6A68" w:rsidRPr="009A6A68">
              <w:rPr>
                <w:sz w:val="22"/>
                <w:szCs w:val="22"/>
              </w:rPr>
              <w:t xml:space="preserve">protection law </w:t>
            </w:r>
            <w:r w:rsidR="00E44A74">
              <w:rPr>
                <w:sz w:val="22"/>
                <w:szCs w:val="22"/>
              </w:rPr>
              <w:t xml:space="preserve">(including General Data Protection Regulations) </w:t>
            </w:r>
            <w:r w:rsidR="009A6A68" w:rsidRPr="009A6A68">
              <w:rPr>
                <w:sz w:val="22"/>
                <w:szCs w:val="22"/>
              </w:rPr>
              <w:t>and internal data protection policies</w:t>
            </w:r>
            <w:r w:rsidR="00E44A74">
              <w:rPr>
                <w:sz w:val="22"/>
                <w:szCs w:val="22"/>
              </w:rPr>
              <w:t>, e</w:t>
            </w:r>
            <w:r w:rsidR="00E44A74" w:rsidRPr="009A6A68">
              <w:rPr>
                <w:sz w:val="22"/>
                <w:szCs w:val="22"/>
              </w:rPr>
              <w:t xml:space="preserve">nsuring </w:t>
            </w:r>
            <w:r w:rsidR="00E44A74">
              <w:rPr>
                <w:sz w:val="22"/>
                <w:szCs w:val="22"/>
              </w:rPr>
              <w:t xml:space="preserve">that </w:t>
            </w:r>
            <w:r w:rsidR="00E44A74" w:rsidRPr="009A6A68">
              <w:rPr>
                <w:sz w:val="22"/>
                <w:szCs w:val="22"/>
              </w:rPr>
              <w:t>compliance checking activi</w:t>
            </w:r>
            <w:r w:rsidR="00E44A74">
              <w:rPr>
                <w:sz w:val="22"/>
                <w:szCs w:val="22"/>
              </w:rPr>
              <w:t>ties are undertaken regularly.</w:t>
            </w:r>
          </w:p>
          <w:p w14:paraId="2FAE879D" w14:textId="77777777" w:rsidR="007615AD" w:rsidRDefault="007615AD" w:rsidP="00763051">
            <w:pPr>
              <w:pStyle w:val="ListParagraph"/>
              <w:widowControl/>
              <w:spacing w:before="0" w:line="259" w:lineRule="auto"/>
              <w:rPr>
                <w:sz w:val="22"/>
                <w:szCs w:val="22"/>
              </w:rPr>
            </w:pPr>
          </w:p>
          <w:p w14:paraId="14F247F2" w14:textId="069C413F" w:rsidR="007615AD" w:rsidRDefault="00692E4B" w:rsidP="00763051">
            <w:pPr>
              <w:pStyle w:val="ListParagraph"/>
              <w:widowControl/>
              <w:numPr>
                <w:ilvl w:val="0"/>
                <w:numId w:val="13"/>
              </w:numPr>
              <w:spacing w:before="0" w:line="259" w:lineRule="auto"/>
              <w:rPr>
                <w:sz w:val="22"/>
                <w:szCs w:val="22"/>
              </w:rPr>
            </w:pPr>
            <w:r>
              <w:rPr>
                <w:sz w:val="22"/>
                <w:szCs w:val="22"/>
              </w:rPr>
              <w:t>Report</w:t>
            </w:r>
            <w:r w:rsidR="00E44A74">
              <w:rPr>
                <w:sz w:val="22"/>
                <w:szCs w:val="22"/>
              </w:rPr>
              <w:t xml:space="preserve"> to the Senior Leadership Team and Audit Committee. biannually, </w:t>
            </w:r>
            <w:r w:rsidR="00E44A74" w:rsidRPr="009A6A68">
              <w:rPr>
                <w:sz w:val="22"/>
                <w:szCs w:val="22"/>
              </w:rPr>
              <w:t>regardin</w:t>
            </w:r>
            <w:r w:rsidR="00E44A74">
              <w:rPr>
                <w:sz w:val="22"/>
                <w:szCs w:val="22"/>
              </w:rPr>
              <w:t>g the organisation’s’ compliance with Data Protection Policy and Procedures.</w:t>
            </w:r>
          </w:p>
          <w:p w14:paraId="6B207269" w14:textId="26B912B2" w:rsidR="007615AD" w:rsidRPr="007615AD" w:rsidRDefault="007615AD" w:rsidP="00763051">
            <w:pPr>
              <w:widowControl/>
              <w:spacing w:before="0" w:line="259" w:lineRule="auto"/>
              <w:ind w:left="0"/>
              <w:rPr>
                <w:sz w:val="22"/>
                <w:szCs w:val="22"/>
              </w:rPr>
            </w:pPr>
          </w:p>
          <w:p w14:paraId="49168ECB" w14:textId="7924BA20" w:rsidR="007615AD" w:rsidRDefault="00692E4B" w:rsidP="00763051">
            <w:pPr>
              <w:pStyle w:val="ListParagraph"/>
              <w:widowControl/>
              <w:numPr>
                <w:ilvl w:val="0"/>
                <w:numId w:val="13"/>
              </w:numPr>
              <w:spacing w:before="0" w:line="259" w:lineRule="auto"/>
              <w:rPr>
                <w:sz w:val="22"/>
                <w:szCs w:val="22"/>
              </w:rPr>
            </w:pPr>
            <w:r>
              <w:rPr>
                <w:sz w:val="22"/>
                <w:szCs w:val="22"/>
              </w:rPr>
              <w:t>Provide t</w:t>
            </w:r>
            <w:r w:rsidR="007615AD" w:rsidRPr="009A6A68">
              <w:rPr>
                <w:sz w:val="22"/>
                <w:szCs w:val="22"/>
              </w:rPr>
              <w:t>raining and a</w:t>
            </w:r>
            <w:r w:rsidR="007615AD">
              <w:rPr>
                <w:sz w:val="22"/>
                <w:szCs w:val="22"/>
              </w:rPr>
              <w:t>wareness-raising</w:t>
            </w:r>
          </w:p>
          <w:p w14:paraId="5F204A28" w14:textId="487B7245" w:rsidR="007615AD" w:rsidRPr="007615AD" w:rsidRDefault="007615AD" w:rsidP="00763051">
            <w:pPr>
              <w:widowControl/>
              <w:spacing w:before="0" w:line="259" w:lineRule="auto"/>
              <w:ind w:left="0"/>
              <w:rPr>
                <w:sz w:val="22"/>
                <w:szCs w:val="22"/>
              </w:rPr>
            </w:pPr>
          </w:p>
          <w:p w14:paraId="4DE45BB1" w14:textId="36611E50" w:rsidR="009A6A68" w:rsidRDefault="00692E4B" w:rsidP="00763051">
            <w:pPr>
              <w:pStyle w:val="ListParagraph"/>
              <w:widowControl/>
              <w:numPr>
                <w:ilvl w:val="0"/>
                <w:numId w:val="13"/>
              </w:numPr>
              <w:spacing w:before="0" w:line="259" w:lineRule="auto"/>
              <w:rPr>
                <w:sz w:val="22"/>
                <w:szCs w:val="22"/>
              </w:rPr>
            </w:pPr>
            <w:r>
              <w:rPr>
                <w:sz w:val="22"/>
                <w:szCs w:val="22"/>
              </w:rPr>
              <w:t xml:space="preserve">Provide </w:t>
            </w:r>
            <w:r w:rsidR="009A6A68" w:rsidRPr="009A6A68">
              <w:rPr>
                <w:sz w:val="22"/>
                <w:szCs w:val="22"/>
              </w:rPr>
              <w:t>expert advice, guidance, and information to the organisation and those processing its data</w:t>
            </w:r>
            <w:r w:rsidR="00E44A74">
              <w:rPr>
                <w:sz w:val="22"/>
                <w:szCs w:val="22"/>
              </w:rPr>
              <w:t>,</w:t>
            </w:r>
            <w:r w:rsidR="009A6A68" w:rsidRPr="009A6A68">
              <w:rPr>
                <w:sz w:val="22"/>
                <w:szCs w:val="22"/>
              </w:rPr>
              <w:t xml:space="preserve"> re</w:t>
            </w:r>
            <w:r w:rsidR="00E44A74">
              <w:rPr>
                <w:sz w:val="22"/>
                <w:szCs w:val="22"/>
              </w:rPr>
              <w:t>garding their legal obligations.</w:t>
            </w:r>
          </w:p>
          <w:p w14:paraId="7B48E52D" w14:textId="5428A4D3" w:rsidR="007615AD" w:rsidRPr="007615AD" w:rsidRDefault="007615AD" w:rsidP="00763051">
            <w:pPr>
              <w:widowControl/>
              <w:spacing w:before="0" w:line="259" w:lineRule="auto"/>
              <w:ind w:left="0"/>
              <w:rPr>
                <w:sz w:val="22"/>
                <w:szCs w:val="22"/>
              </w:rPr>
            </w:pPr>
          </w:p>
          <w:p w14:paraId="4C9E71C3" w14:textId="19556B7E" w:rsidR="009A6A68" w:rsidRDefault="00692E4B" w:rsidP="00763051">
            <w:pPr>
              <w:pStyle w:val="ListParagraph"/>
              <w:widowControl/>
              <w:numPr>
                <w:ilvl w:val="0"/>
                <w:numId w:val="13"/>
              </w:numPr>
              <w:spacing w:before="0" w:line="259" w:lineRule="auto"/>
              <w:rPr>
                <w:sz w:val="22"/>
                <w:szCs w:val="22"/>
              </w:rPr>
            </w:pPr>
            <w:r>
              <w:rPr>
                <w:sz w:val="22"/>
                <w:szCs w:val="22"/>
              </w:rPr>
              <w:t>Provide</w:t>
            </w:r>
            <w:r w:rsidR="009A6A68" w:rsidRPr="009A6A68">
              <w:rPr>
                <w:sz w:val="22"/>
                <w:szCs w:val="22"/>
              </w:rPr>
              <w:t xml:space="preserve"> advice </w:t>
            </w:r>
            <w:r>
              <w:rPr>
                <w:sz w:val="22"/>
                <w:szCs w:val="22"/>
              </w:rPr>
              <w:t>and actively support</w:t>
            </w:r>
            <w:r w:rsidR="007615AD">
              <w:rPr>
                <w:sz w:val="22"/>
                <w:szCs w:val="22"/>
              </w:rPr>
              <w:t xml:space="preserve"> the process of Privacy </w:t>
            </w:r>
            <w:r w:rsidR="009A6A68" w:rsidRPr="009A6A68">
              <w:rPr>
                <w:sz w:val="22"/>
                <w:szCs w:val="22"/>
              </w:rPr>
              <w:t>Impact Assessments</w:t>
            </w:r>
            <w:r w:rsidR="007615AD">
              <w:rPr>
                <w:sz w:val="22"/>
                <w:szCs w:val="22"/>
              </w:rPr>
              <w:t>, ensuring privacy by design is embedded into all college developments and reported regularly to the Resources and Infrastructure Committee.</w:t>
            </w:r>
          </w:p>
          <w:p w14:paraId="0122BEE0" w14:textId="77777777" w:rsidR="007615AD" w:rsidRPr="007615AD" w:rsidRDefault="007615AD" w:rsidP="00763051">
            <w:pPr>
              <w:pStyle w:val="ListParagraph"/>
              <w:spacing w:before="0"/>
              <w:rPr>
                <w:sz w:val="22"/>
                <w:szCs w:val="22"/>
              </w:rPr>
            </w:pPr>
          </w:p>
          <w:p w14:paraId="06338284" w14:textId="77777777" w:rsidR="007615AD" w:rsidRPr="007615AD" w:rsidRDefault="007615AD" w:rsidP="00763051">
            <w:pPr>
              <w:widowControl/>
              <w:spacing w:before="0" w:line="259" w:lineRule="auto"/>
              <w:ind w:left="0"/>
              <w:rPr>
                <w:sz w:val="22"/>
                <w:szCs w:val="22"/>
              </w:rPr>
            </w:pPr>
          </w:p>
          <w:p w14:paraId="757F2538" w14:textId="054DBA30" w:rsidR="009A6A68" w:rsidRDefault="00692E4B" w:rsidP="00763051">
            <w:pPr>
              <w:pStyle w:val="ListParagraph"/>
              <w:widowControl/>
              <w:numPr>
                <w:ilvl w:val="0"/>
                <w:numId w:val="13"/>
              </w:numPr>
              <w:spacing w:before="0" w:line="259" w:lineRule="auto"/>
              <w:rPr>
                <w:sz w:val="22"/>
                <w:szCs w:val="22"/>
              </w:rPr>
            </w:pPr>
            <w:r>
              <w:rPr>
                <w:sz w:val="22"/>
                <w:szCs w:val="22"/>
              </w:rPr>
              <w:t>Monitor and provide</w:t>
            </w:r>
            <w:r w:rsidR="009A6A68" w:rsidRPr="009A6A68">
              <w:rPr>
                <w:sz w:val="22"/>
                <w:szCs w:val="22"/>
              </w:rPr>
              <w:t xml:space="preserve"> guidance as necessary in rel</w:t>
            </w:r>
            <w:r w:rsidR="007615AD">
              <w:rPr>
                <w:sz w:val="22"/>
                <w:szCs w:val="22"/>
              </w:rPr>
              <w:t>ation to data security breaches.</w:t>
            </w:r>
          </w:p>
          <w:p w14:paraId="12105D3E" w14:textId="77777777" w:rsidR="007615AD" w:rsidRPr="007615AD" w:rsidRDefault="007615AD" w:rsidP="00763051">
            <w:pPr>
              <w:widowControl/>
              <w:spacing w:before="0" w:line="259" w:lineRule="auto"/>
              <w:ind w:left="0"/>
              <w:rPr>
                <w:sz w:val="22"/>
                <w:szCs w:val="22"/>
              </w:rPr>
            </w:pPr>
          </w:p>
          <w:p w14:paraId="29C3DE50" w14:textId="736A8C9A" w:rsidR="009A6A68" w:rsidRDefault="00692E4B" w:rsidP="00763051">
            <w:pPr>
              <w:pStyle w:val="ListParagraph"/>
              <w:widowControl/>
              <w:numPr>
                <w:ilvl w:val="0"/>
                <w:numId w:val="13"/>
              </w:numPr>
              <w:spacing w:before="0" w:line="259" w:lineRule="auto"/>
              <w:rPr>
                <w:sz w:val="22"/>
                <w:szCs w:val="22"/>
              </w:rPr>
            </w:pPr>
            <w:r>
              <w:rPr>
                <w:sz w:val="22"/>
                <w:szCs w:val="22"/>
              </w:rPr>
              <w:t>Liaise</w:t>
            </w:r>
            <w:r w:rsidR="009A6A68" w:rsidRPr="009A6A68">
              <w:rPr>
                <w:sz w:val="22"/>
                <w:szCs w:val="22"/>
              </w:rPr>
              <w:t xml:space="preserve"> with data subjects </w:t>
            </w:r>
            <w:r>
              <w:rPr>
                <w:sz w:val="22"/>
                <w:szCs w:val="22"/>
              </w:rPr>
              <w:t>and provide timely responses</w:t>
            </w:r>
            <w:r w:rsidR="007615AD">
              <w:rPr>
                <w:sz w:val="22"/>
                <w:szCs w:val="22"/>
              </w:rPr>
              <w:t xml:space="preserve"> to requests.</w:t>
            </w:r>
          </w:p>
          <w:p w14:paraId="72938147" w14:textId="3E9F71CA" w:rsidR="007615AD" w:rsidRPr="007615AD" w:rsidRDefault="007615AD" w:rsidP="00763051">
            <w:pPr>
              <w:widowControl/>
              <w:spacing w:before="0" w:line="259" w:lineRule="auto"/>
              <w:ind w:left="0"/>
              <w:rPr>
                <w:sz w:val="22"/>
                <w:szCs w:val="22"/>
              </w:rPr>
            </w:pPr>
          </w:p>
          <w:p w14:paraId="5A347E66" w14:textId="0CA82AE7" w:rsidR="009A6A68" w:rsidRDefault="00692E4B" w:rsidP="00763051">
            <w:pPr>
              <w:pStyle w:val="ListParagraph"/>
              <w:widowControl/>
              <w:numPr>
                <w:ilvl w:val="0"/>
                <w:numId w:val="13"/>
              </w:numPr>
              <w:spacing w:before="0" w:line="259" w:lineRule="auto"/>
              <w:rPr>
                <w:sz w:val="22"/>
                <w:szCs w:val="22"/>
              </w:rPr>
            </w:pPr>
            <w:r>
              <w:rPr>
                <w:sz w:val="22"/>
                <w:szCs w:val="22"/>
              </w:rPr>
              <w:t xml:space="preserve">Maintain </w:t>
            </w:r>
            <w:r w:rsidR="009A6A68" w:rsidRPr="009A6A68">
              <w:rPr>
                <w:sz w:val="22"/>
                <w:szCs w:val="22"/>
              </w:rPr>
              <w:t>appropriate records to enable the organisation to be able to demo</w:t>
            </w:r>
            <w:r w:rsidR="007615AD">
              <w:rPr>
                <w:sz w:val="22"/>
                <w:szCs w:val="22"/>
              </w:rPr>
              <w:t>nstrate compliance with the law.</w:t>
            </w:r>
          </w:p>
          <w:p w14:paraId="37C1906C" w14:textId="77777777" w:rsidR="007615AD" w:rsidRPr="007615AD" w:rsidRDefault="007615AD" w:rsidP="00763051">
            <w:pPr>
              <w:pStyle w:val="ListParagraph"/>
              <w:spacing w:before="0"/>
              <w:rPr>
                <w:sz w:val="22"/>
                <w:szCs w:val="22"/>
              </w:rPr>
            </w:pPr>
          </w:p>
          <w:p w14:paraId="5FCF88D7" w14:textId="77777777" w:rsidR="007615AD" w:rsidRPr="007615AD" w:rsidRDefault="007615AD" w:rsidP="00763051">
            <w:pPr>
              <w:widowControl/>
              <w:spacing w:before="0" w:line="259" w:lineRule="auto"/>
              <w:ind w:left="0"/>
              <w:rPr>
                <w:sz w:val="22"/>
                <w:szCs w:val="22"/>
              </w:rPr>
            </w:pPr>
          </w:p>
          <w:p w14:paraId="4C076A72" w14:textId="3F6AC35F" w:rsidR="00AC6AEB" w:rsidRPr="007615AD" w:rsidRDefault="00692E4B" w:rsidP="00763051">
            <w:pPr>
              <w:pStyle w:val="ListParagraph"/>
              <w:widowControl/>
              <w:numPr>
                <w:ilvl w:val="0"/>
                <w:numId w:val="13"/>
              </w:numPr>
              <w:spacing w:before="0" w:line="259" w:lineRule="auto"/>
              <w:rPr>
                <w:sz w:val="22"/>
                <w:szCs w:val="22"/>
              </w:rPr>
            </w:pPr>
            <w:r>
              <w:rPr>
                <w:sz w:val="22"/>
                <w:szCs w:val="22"/>
              </w:rPr>
              <w:t>Cooperate and liaise</w:t>
            </w:r>
            <w:r w:rsidR="009A6A68" w:rsidRPr="007615AD">
              <w:rPr>
                <w:sz w:val="22"/>
                <w:szCs w:val="22"/>
              </w:rPr>
              <w:t xml:space="preserve"> with the supervisory authority</w:t>
            </w:r>
            <w:r w:rsidR="007615AD" w:rsidRPr="007615AD">
              <w:rPr>
                <w:sz w:val="22"/>
                <w:szCs w:val="22"/>
              </w:rPr>
              <w:t xml:space="preserve"> for Data Protection. </w:t>
            </w:r>
            <w:r w:rsidR="007615AD" w:rsidRPr="007615AD">
              <w:rPr>
                <w:b/>
                <w:color w:val="007396"/>
                <w:sz w:val="22"/>
                <w:szCs w:val="22"/>
              </w:rPr>
              <w:t xml:space="preserve"> </w:t>
            </w:r>
          </w:p>
        </w:tc>
      </w:tr>
      <w:tr w:rsidR="004F0225" w14:paraId="487F8485" w14:textId="77777777" w:rsidTr="00E6124E">
        <w:trPr>
          <w:trHeight w:val="368"/>
        </w:trPr>
        <w:tc>
          <w:tcPr>
            <w:tcW w:w="9622" w:type="dxa"/>
          </w:tcPr>
          <w:p w14:paraId="59CE03A0" w14:textId="20DA9AD9" w:rsidR="004F0225" w:rsidRPr="008E5222" w:rsidRDefault="00AB3894" w:rsidP="004F0225">
            <w:pPr>
              <w:ind w:left="0"/>
              <w:rPr>
                <w:b/>
                <w:color w:val="007396"/>
              </w:rPr>
            </w:pPr>
            <w:r>
              <w:rPr>
                <w:b/>
                <w:color w:val="007396"/>
              </w:rPr>
              <w:t>STUDENTS</w:t>
            </w:r>
          </w:p>
          <w:p w14:paraId="4F6DF5E7" w14:textId="3D1255B5" w:rsidR="004F0225" w:rsidRPr="008E5222" w:rsidRDefault="004F0225" w:rsidP="004F0225">
            <w:pPr>
              <w:ind w:left="0"/>
              <w:rPr>
                <w:b/>
                <w:color w:val="007396"/>
              </w:rPr>
            </w:pPr>
            <w:r w:rsidRPr="008E5222">
              <w:rPr>
                <w:b/>
              </w:rPr>
              <w:t>It is the res</w:t>
            </w:r>
            <w:r w:rsidR="00AC6AEB">
              <w:rPr>
                <w:b/>
              </w:rPr>
              <w:t>ponsibility of all students</w:t>
            </w:r>
            <w:r w:rsidRPr="008E5222">
              <w:rPr>
                <w:b/>
              </w:rPr>
              <w:t xml:space="preserve"> to:</w:t>
            </w:r>
          </w:p>
        </w:tc>
      </w:tr>
      <w:tr w:rsidR="004F0225" w14:paraId="61FE8807" w14:textId="77777777" w:rsidTr="00E6124E">
        <w:trPr>
          <w:trHeight w:val="964"/>
        </w:trPr>
        <w:tc>
          <w:tcPr>
            <w:tcW w:w="9622" w:type="dxa"/>
          </w:tcPr>
          <w:p w14:paraId="14DFCEF4" w14:textId="77777777" w:rsidR="00AB3894" w:rsidRPr="00692E4B" w:rsidRDefault="00AB3894" w:rsidP="00692E4B">
            <w:pPr>
              <w:pStyle w:val="ListParagraph"/>
              <w:numPr>
                <w:ilvl w:val="0"/>
                <w:numId w:val="15"/>
              </w:numPr>
              <w:spacing w:line="300" w:lineRule="auto"/>
              <w:jc w:val="both"/>
              <w:rPr>
                <w:rFonts w:cs="Arial"/>
                <w:sz w:val="22"/>
              </w:rPr>
            </w:pPr>
            <w:r w:rsidRPr="00692E4B">
              <w:rPr>
                <w:rFonts w:cs="Arial"/>
                <w:sz w:val="22"/>
              </w:rPr>
              <w:lastRenderedPageBreak/>
              <w:t xml:space="preserve">Ensure that all personal data provided to the College is accurate and up to date. </w:t>
            </w:r>
          </w:p>
          <w:p w14:paraId="6913152B" w14:textId="77777777" w:rsidR="00AB3894" w:rsidRPr="00AB3894" w:rsidRDefault="00AB3894" w:rsidP="00AB3894">
            <w:pPr>
              <w:spacing w:line="300" w:lineRule="auto"/>
              <w:ind w:left="0"/>
              <w:jc w:val="both"/>
              <w:rPr>
                <w:rFonts w:cs="Arial"/>
                <w:sz w:val="22"/>
                <w:szCs w:val="24"/>
              </w:rPr>
            </w:pPr>
          </w:p>
          <w:p w14:paraId="1C200B1C" w14:textId="77777777" w:rsidR="00AB3894" w:rsidRPr="00692E4B" w:rsidRDefault="00AB3894" w:rsidP="00692E4B">
            <w:pPr>
              <w:pStyle w:val="ListParagraph"/>
              <w:numPr>
                <w:ilvl w:val="0"/>
                <w:numId w:val="15"/>
              </w:numPr>
              <w:spacing w:line="300" w:lineRule="auto"/>
              <w:jc w:val="both"/>
              <w:rPr>
                <w:rFonts w:cs="Arial"/>
                <w:sz w:val="24"/>
              </w:rPr>
            </w:pPr>
            <w:r w:rsidRPr="00692E4B">
              <w:rPr>
                <w:rFonts w:cs="Arial"/>
                <w:sz w:val="22"/>
              </w:rPr>
              <w:t>Ensure that changes to personal data e.g. address or name, are notified to the student records data staff either via their teacher or directly</w:t>
            </w:r>
            <w:r w:rsidRPr="00692E4B">
              <w:rPr>
                <w:rFonts w:cs="Arial"/>
                <w:sz w:val="24"/>
              </w:rPr>
              <w:t>.</w:t>
            </w:r>
          </w:p>
          <w:p w14:paraId="5F0BC7D8" w14:textId="2C7976DE" w:rsidR="00370722" w:rsidRPr="00E6124E" w:rsidRDefault="00370722" w:rsidP="00E6124E">
            <w:pPr>
              <w:ind w:left="0"/>
              <w:jc w:val="both"/>
              <w:rPr>
                <w:rFonts w:cs="Arial"/>
              </w:rPr>
            </w:pPr>
          </w:p>
        </w:tc>
      </w:tr>
      <w:tr w:rsidR="004F0225" w14:paraId="54A040EB" w14:textId="77777777" w:rsidTr="00E6124E">
        <w:trPr>
          <w:trHeight w:val="368"/>
        </w:trPr>
        <w:tc>
          <w:tcPr>
            <w:tcW w:w="9622" w:type="dxa"/>
          </w:tcPr>
          <w:p w14:paraId="7CB55738" w14:textId="77777777" w:rsidR="004F0225" w:rsidRPr="008E5222" w:rsidRDefault="004F0225" w:rsidP="004F0225">
            <w:pPr>
              <w:ind w:left="0"/>
              <w:rPr>
                <w:b/>
                <w:color w:val="007396"/>
              </w:rPr>
            </w:pPr>
            <w:r w:rsidRPr="008E5222">
              <w:rPr>
                <w:b/>
                <w:color w:val="007396"/>
              </w:rPr>
              <w:t>EMPLOYEES</w:t>
            </w:r>
          </w:p>
          <w:p w14:paraId="53E00803" w14:textId="77777777" w:rsidR="004F0225" w:rsidRPr="008E5222" w:rsidRDefault="004F0225" w:rsidP="004F0225">
            <w:pPr>
              <w:ind w:left="0"/>
              <w:rPr>
                <w:b/>
                <w:color w:val="007396"/>
              </w:rPr>
            </w:pPr>
            <w:r w:rsidRPr="008E5222">
              <w:rPr>
                <w:b/>
              </w:rPr>
              <w:t>It is the responsibility of all college employees, including managers, to:</w:t>
            </w:r>
          </w:p>
        </w:tc>
      </w:tr>
      <w:tr w:rsidR="004F0225" w14:paraId="1E460040" w14:textId="77777777" w:rsidTr="00E6124E">
        <w:trPr>
          <w:trHeight w:val="964"/>
        </w:trPr>
        <w:tc>
          <w:tcPr>
            <w:tcW w:w="9622" w:type="dxa"/>
          </w:tcPr>
          <w:p w14:paraId="4A391CCC"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Check that any information that they provide to the College in connection with their employment is accurate and up to date.</w:t>
            </w:r>
          </w:p>
          <w:p w14:paraId="0C1291A8" w14:textId="77777777" w:rsidR="00AB3894" w:rsidRPr="00AB3894" w:rsidRDefault="00AB3894" w:rsidP="00AB3894">
            <w:pPr>
              <w:spacing w:line="300" w:lineRule="auto"/>
              <w:ind w:left="0"/>
              <w:jc w:val="both"/>
              <w:rPr>
                <w:rFonts w:eastAsia="Times New Roman" w:cs="Arial"/>
                <w:sz w:val="22"/>
                <w:szCs w:val="24"/>
              </w:rPr>
            </w:pPr>
          </w:p>
          <w:p w14:paraId="3F6AA1D0"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Inform the College of any changes to information which they have provided, e.g. changes of address. The College cannot be held responsible for any errors in staff members’ personal information resulting from the failure of members of staff to do this.</w:t>
            </w:r>
          </w:p>
          <w:p w14:paraId="78CE82D9" w14:textId="77777777" w:rsidR="00AB3894" w:rsidRPr="00AB3894" w:rsidRDefault="00AB3894" w:rsidP="00AB3894">
            <w:pPr>
              <w:spacing w:line="300" w:lineRule="auto"/>
              <w:ind w:left="0"/>
              <w:jc w:val="both"/>
              <w:rPr>
                <w:rFonts w:eastAsia="Times New Roman" w:cs="Arial"/>
                <w:sz w:val="22"/>
                <w:szCs w:val="24"/>
              </w:rPr>
            </w:pPr>
          </w:p>
          <w:p w14:paraId="257EBA51"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Ensure that any personal data they hold about students complies with the Data Protection Principles listed in section 2 of this policy and that the systems in which personal data is stored (relevant filing system) is notified to the college’s Data Protection Officer for inclusion in the Information Asset Register. In particular, staff must ensure that such data is accurate, up-to-date, fair, securely stored and not excessive in relation to its purpose.</w:t>
            </w:r>
          </w:p>
          <w:p w14:paraId="09BE7618" w14:textId="77777777" w:rsidR="00AB3894" w:rsidRPr="00AB3894" w:rsidRDefault="00AB3894" w:rsidP="00AB3894">
            <w:pPr>
              <w:pStyle w:val="ListParagraph"/>
              <w:rPr>
                <w:rFonts w:eastAsia="Times New Roman" w:cs="Arial"/>
                <w:sz w:val="22"/>
                <w:szCs w:val="24"/>
              </w:rPr>
            </w:pPr>
          </w:p>
          <w:p w14:paraId="6AC520D3"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Ensure that ‘sensitive data’ (</w:t>
            </w:r>
            <w:proofErr w:type="spellStart"/>
            <w:r w:rsidRPr="00AB3894">
              <w:rPr>
                <w:rFonts w:eastAsia="Times New Roman" w:cs="Arial"/>
                <w:sz w:val="22"/>
                <w:szCs w:val="24"/>
              </w:rPr>
              <w:t>ie</w:t>
            </w:r>
            <w:proofErr w:type="spellEnd"/>
            <w:r w:rsidRPr="00AB3894">
              <w:rPr>
                <w:rFonts w:eastAsia="Times New Roman" w:cs="Arial"/>
                <w:sz w:val="22"/>
                <w:szCs w:val="24"/>
              </w:rPr>
              <w:t xml:space="preserve">. that relating to the student’s physical or mental health, sexual life, political or religious views, trade union membership, or ethnicity or race) is </w:t>
            </w:r>
            <w:r w:rsidRPr="00AB3894">
              <w:rPr>
                <w:rFonts w:eastAsia="Times New Roman" w:cs="Arial"/>
                <w:sz w:val="22"/>
                <w:szCs w:val="24"/>
                <w:u w:val="single"/>
              </w:rPr>
              <w:t>not</w:t>
            </w:r>
            <w:r w:rsidRPr="00AB3894">
              <w:rPr>
                <w:rFonts w:eastAsia="Times New Roman" w:cs="Arial"/>
                <w:sz w:val="22"/>
                <w:szCs w:val="24"/>
              </w:rPr>
              <w:t xml:space="preserve"> held, except with the approval of the College’s Data Protection Officer. Such processing must be in line with the college’s lawful basis for processing </w:t>
            </w:r>
            <w:proofErr w:type="gramStart"/>
            <w:r w:rsidRPr="00AB3894">
              <w:rPr>
                <w:rFonts w:eastAsia="Times New Roman" w:cs="Arial"/>
                <w:sz w:val="22"/>
                <w:szCs w:val="24"/>
              </w:rPr>
              <w:t>The</w:t>
            </w:r>
            <w:proofErr w:type="gramEnd"/>
            <w:r w:rsidRPr="00AB3894">
              <w:rPr>
                <w:rFonts w:eastAsia="Times New Roman" w:cs="Arial"/>
                <w:sz w:val="22"/>
                <w:szCs w:val="24"/>
              </w:rPr>
              <w:t xml:space="preserve"> exception to this is when the member of staff is satisfied that the processing of such data is necessary because it is in the vital interests of the data subject. </w:t>
            </w:r>
          </w:p>
          <w:p w14:paraId="27894201"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 xml:space="preserve">Keep personal data confidential – it must not be accessed by or disclosed to any student, or other member of staff, unless for normal academic or pastoral purposes, without agreement from the Data Protection Officer, or in line with College policy. Staff should note that unauthorised access or disclosure will usually be a disciplinary </w:t>
            </w:r>
            <w:proofErr w:type="gramStart"/>
            <w:r w:rsidRPr="00AB3894">
              <w:rPr>
                <w:rFonts w:eastAsia="Times New Roman" w:cs="Arial"/>
                <w:sz w:val="22"/>
                <w:szCs w:val="24"/>
              </w:rPr>
              <w:t>matter, and</w:t>
            </w:r>
            <w:proofErr w:type="gramEnd"/>
            <w:r w:rsidRPr="00AB3894">
              <w:rPr>
                <w:rFonts w:eastAsia="Times New Roman" w:cs="Arial"/>
                <w:sz w:val="22"/>
                <w:szCs w:val="24"/>
              </w:rPr>
              <w:t xml:space="preserve"> may be considered gross misconduct in some cases. Unauthorised access or disclosure by a staff member knowingly in breach of this policy could result in prosecution of the individual concerned.</w:t>
            </w:r>
          </w:p>
          <w:p w14:paraId="57B5E3DF" w14:textId="77777777" w:rsidR="00AB3894" w:rsidRPr="00AB3894" w:rsidRDefault="00AB3894" w:rsidP="00AB3894">
            <w:pPr>
              <w:spacing w:line="300" w:lineRule="auto"/>
              <w:ind w:left="0"/>
              <w:jc w:val="both"/>
              <w:rPr>
                <w:rFonts w:eastAsia="Times New Roman" w:cs="Arial"/>
                <w:sz w:val="22"/>
                <w:szCs w:val="24"/>
              </w:rPr>
            </w:pPr>
          </w:p>
          <w:p w14:paraId="77F3D519" w14:textId="650EACA4"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 xml:space="preserve">Personal Data, in the form of spreadsheets, databases or any other electronic information source, which is about any individual (student or staff) and therefore within the scope of the data protection act, must NOT leave the college, either on email or on a portable device e.g. laptop, memory stick, CD, without being encrypted for the protection of personal data. This </w:t>
            </w:r>
            <w:r w:rsidRPr="00AB3894">
              <w:rPr>
                <w:rFonts w:eastAsia="Times New Roman" w:cs="Arial"/>
                <w:sz w:val="22"/>
                <w:szCs w:val="24"/>
              </w:rPr>
              <w:lastRenderedPageBreak/>
              <w:t>includes data being emailed externally. Further information can be found in</w:t>
            </w:r>
            <w:r w:rsidR="001644CF">
              <w:rPr>
                <w:rFonts w:eastAsia="Times New Roman" w:cs="Arial"/>
                <w:sz w:val="22"/>
                <w:szCs w:val="24"/>
              </w:rPr>
              <w:t xml:space="preserve"> the college’s IT </w:t>
            </w:r>
            <w:r w:rsidRPr="00AB3894">
              <w:rPr>
                <w:rFonts w:eastAsia="Times New Roman" w:cs="Arial"/>
                <w:sz w:val="22"/>
                <w:szCs w:val="24"/>
              </w:rPr>
              <w:t xml:space="preserve"> Policy.</w:t>
            </w:r>
          </w:p>
          <w:p w14:paraId="60432048" w14:textId="77777777" w:rsidR="00AB3894" w:rsidRPr="00AB3894" w:rsidRDefault="00AB3894" w:rsidP="00AB3894">
            <w:pPr>
              <w:spacing w:line="300" w:lineRule="auto"/>
              <w:ind w:left="0"/>
              <w:jc w:val="both"/>
              <w:rPr>
                <w:rFonts w:eastAsia="Times New Roman" w:cs="Arial"/>
                <w:sz w:val="22"/>
                <w:szCs w:val="24"/>
              </w:rPr>
            </w:pPr>
          </w:p>
          <w:p w14:paraId="0A3A6245" w14:textId="77777777" w:rsidR="00AB3894" w:rsidRPr="00AB3894" w:rsidRDefault="00AB3894" w:rsidP="00AB3894">
            <w:pPr>
              <w:pStyle w:val="ListParagraph"/>
              <w:widowControl/>
              <w:numPr>
                <w:ilvl w:val="0"/>
                <w:numId w:val="12"/>
              </w:numPr>
              <w:spacing w:before="0" w:line="300" w:lineRule="auto"/>
              <w:ind w:left="360"/>
              <w:jc w:val="both"/>
              <w:rPr>
                <w:rFonts w:eastAsia="Times New Roman" w:cs="Arial"/>
                <w:sz w:val="22"/>
                <w:szCs w:val="24"/>
              </w:rPr>
            </w:pPr>
            <w:r w:rsidRPr="00AB3894">
              <w:rPr>
                <w:rFonts w:eastAsia="Times New Roman" w:cs="Arial"/>
                <w:sz w:val="22"/>
                <w:szCs w:val="24"/>
              </w:rPr>
              <w:t>Check, prior to recording personal data, that the data to be recorded is fair, necessary, accurate, securely storable, and not ‘sensitive’.</w:t>
            </w:r>
          </w:p>
          <w:p w14:paraId="22E74B71" w14:textId="1456E7A6" w:rsidR="004F0225" w:rsidRPr="00AB3894" w:rsidRDefault="004F0225" w:rsidP="004F0225">
            <w:pPr>
              <w:ind w:left="0"/>
              <w:rPr>
                <w:b/>
                <w:color w:val="007396"/>
                <w:sz w:val="22"/>
              </w:rPr>
            </w:pPr>
          </w:p>
        </w:tc>
      </w:tr>
    </w:tbl>
    <w:p w14:paraId="7E8454B0" w14:textId="77777777" w:rsidR="00163690" w:rsidRDefault="00163690" w:rsidP="000B2F56"/>
    <w:tbl>
      <w:tblPr>
        <w:tblStyle w:val="TableGrid"/>
        <w:tblW w:w="0" w:type="auto"/>
        <w:tblLook w:val="04A0" w:firstRow="1" w:lastRow="0" w:firstColumn="1" w:lastColumn="0" w:noHBand="0" w:noVBand="1"/>
      </w:tblPr>
      <w:tblGrid>
        <w:gridCol w:w="9622"/>
      </w:tblGrid>
      <w:tr w:rsidR="00163690" w14:paraId="04398E73" w14:textId="77777777" w:rsidTr="00D474C6">
        <w:tc>
          <w:tcPr>
            <w:tcW w:w="9848" w:type="dxa"/>
          </w:tcPr>
          <w:p w14:paraId="35B1E20B" w14:textId="77777777" w:rsidR="00163690" w:rsidRPr="00AB3894" w:rsidRDefault="008E5222" w:rsidP="008E5222">
            <w:pPr>
              <w:pStyle w:val="Subtitle"/>
              <w:ind w:left="0"/>
              <w:rPr>
                <w:sz w:val="22"/>
                <w:szCs w:val="22"/>
              </w:rPr>
            </w:pPr>
            <w:r w:rsidRPr="00AB3894">
              <w:rPr>
                <w:caps w:val="0"/>
                <w:sz w:val="22"/>
                <w:szCs w:val="22"/>
              </w:rPr>
              <w:t>5. COLLEGE PROCEDURES LINKED TO THIS POLICY (list)</w:t>
            </w:r>
          </w:p>
        </w:tc>
      </w:tr>
      <w:tr w:rsidR="00163690" w14:paraId="287C7485" w14:textId="77777777" w:rsidTr="00E6124E">
        <w:trPr>
          <w:trHeight w:val="700"/>
        </w:trPr>
        <w:tc>
          <w:tcPr>
            <w:tcW w:w="9848" w:type="dxa"/>
          </w:tcPr>
          <w:p w14:paraId="279DC5B6"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A number of college procedures exist to underpin the Data Protection / GDPR Principles in section 2 and to provide assurance that the college complies with Data Protection legislation. These include procedures relating to:-</w:t>
            </w:r>
          </w:p>
          <w:p w14:paraId="6AB6A245" w14:textId="77777777" w:rsidR="00AB3894" w:rsidRPr="00AB3894" w:rsidRDefault="00AB3894" w:rsidP="00AB3894">
            <w:pPr>
              <w:spacing w:line="300" w:lineRule="auto"/>
              <w:ind w:left="0"/>
              <w:jc w:val="both"/>
              <w:rPr>
                <w:rFonts w:eastAsia="Times New Roman" w:cs="Arial"/>
                <w:sz w:val="22"/>
                <w:szCs w:val="22"/>
              </w:rPr>
            </w:pPr>
          </w:p>
          <w:p w14:paraId="7B7C1205"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5.1 Consent to process</w:t>
            </w:r>
          </w:p>
          <w:p w14:paraId="61CC4BAA"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5.2 Updating and accuracy of personal data</w:t>
            </w:r>
          </w:p>
          <w:p w14:paraId="757FB0B7"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5.3 Notification and amendments to the Information Asset Register</w:t>
            </w:r>
          </w:p>
          <w:p w14:paraId="3EAB5544"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5.4 Processing security</w:t>
            </w:r>
          </w:p>
          <w:p w14:paraId="4DF2E40C"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5.5 Privacy Impact Assessment</w:t>
            </w:r>
          </w:p>
          <w:p w14:paraId="7A239219"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5.5 References</w:t>
            </w:r>
          </w:p>
          <w:p w14:paraId="41A8BEF2"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5.6 Examination marks</w:t>
            </w:r>
          </w:p>
          <w:p w14:paraId="01B2191E"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5.7 Statistical and historical research</w:t>
            </w:r>
          </w:p>
          <w:p w14:paraId="287A4727"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5.8 Management planning</w:t>
            </w:r>
          </w:p>
          <w:p w14:paraId="76085FEF"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5.9 Data subject rights and subject access requests</w:t>
            </w:r>
          </w:p>
          <w:p w14:paraId="3A555095"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5.10 Electronic data and portable devices containing personal data</w:t>
            </w:r>
          </w:p>
          <w:p w14:paraId="7601283C"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5.11 Retention of personal data</w:t>
            </w:r>
          </w:p>
          <w:p w14:paraId="25718A46"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5.12 Destruction and disposal of personal data</w:t>
            </w:r>
          </w:p>
          <w:p w14:paraId="3C2A870B" w14:textId="77777777" w:rsidR="00163690" w:rsidRDefault="00163690" w:rsidP="00D474C6">
            <w:pPr>
              <w:ind w:left="0"/>
              <w:rPr>
                <w:sz w:val="22"/>
                <w:szCs w:val="22"/>
              </w:rPr>
            </w:pPr>
          </w:p>
          <w:p w14:paraId="2F1A8C13" w14:textId="63EAA78C" w:rsidR="00AB3894" w:rsidRPr="00AB3894" w:rsidRDefault="00AB3894" w:rsidP="00D474C6">
            <w:pPr>
              <w:ind w:left="0"/>
              <w:rPr>
                <w:sz w:val="22"/>
                <w:szCs w:val="22"/>
              </w:rPr>
            </w:pPr>
          </w:p>
        </w:tc>
      </w:tr>
    </w:tbl>
    <w:p w14:paraId="498ECDF6" w14:textId="77777777" w:rsidR="00163690" w:rsidRDefault="00163690" w:rsidP="000B2F56"/>
    <w:tbl>
      <w:tblPr>
        <w:tblStyle w:val="TableGrid"/>
        <w:tblW w:w="0" w:type="auto"/>
        <w:tblLook w:val="04A0" w:firstRow="1" w:lastRow="0" w:firstColumn="1" w:lastColumn="0" w:noHBand="0" w:noVBand="1"/>
      </w:tblPr>
      <w:tblGrid>
        <w:gridCol w:w="9622"/>
      </w:tblGrid>
      <w:tr w:rsidR="00163690" w14:paraId="424CD6AB" w14:textId="77777777" w:rsidTr="00D474C6">
        <w:tc>
          <w:tcPr>
            <w:tcW w:w="9848" w:type="dxa"/>
          </w:tcPr>
          <w:p w14:paraId="7C64CE57" w14:textId="736CEEAB" w:rsidR="00163690" w:rsidRPr="009D2F02" w:rsidRDefault="008E5222" w:rsidP="009D2F02">
            <w:pPr>
              <w:pStyle w:val="Subtitle"/>
              <w:ind w:left="0"/>
            </w:pPr>
            <w:r w:rsidRPr="008E5222">
              <w:rPr>
                <w:caps w:val="0"/>
              </w:rPr>
              <w:t>6. HOW HAS IMPACT ASSESSMENT TAKEN PLACE</w:t>
            </w:r>
            <w:bookmarkStart w:id="0" w:name="_GoBack"/>
            <w:bookmarkEnd w:id="0"/>
          </w:p>
        </w:tc>
      </w:tr>
      <w:tr w:rsidR="00163690" w14:paraId="763AC385" w14:textId="77777777" w:rsidTr="00E6124E">
        <w:trPr>
          <w:trHeight w:val="895"/>
        </w:trPr>
        <w:tc>
          <w:tcPr>
            <w:tcW w:w="9848" w:type="dxa"/>
          </w:tcPr>
          <w:p w14:paraId="18BCA8BC" w14:textId="77777777" w:rsidR="00AB3894" w:rsidRPr="00AB3894" w:rsidRDefault="00AB3894" w:rsidP="00AB3894">
            <w:pPr>
              <w:spacing w:line="300" w:lineRule="auto"/>
              <w:ind w:left="0"/>
              <w:jc w:val="both"/>
              <w:rPr>
                <w:rFonts w:eastAsia="Times New Roman" w:cs="Arial"/>
                <w:sz w:val="22"/>
                <w:szCs w:val="22"/>
              </w:rPr>
            </w:pPr>
            <w:r w:rsidRPr="00AB3894">
              <w:rPr>
                <w:rFonts w:eastAsia="Times New Roman" w:cs="Arial"/>
                <w:sz w:val="22"/>
                <w:szCs w:val="22"/>
              </w:rPr>
              <w:t>The requirement for the Data Subject to make data access request in writing may disadvantage some individuals. The procedure has, therefore, been amended in order to allow students or staff to make such requests by either personal representation, electronically or in writing.</w:t>
            </w:r>
          </w:p>
          <w:p w14:paraId="18A1E8AD" w14:textId="77777777" w:rsidR="00AB3894" w:rsidRPr="00AB3894" w:rsidRDefault="00AB3894" w:rsidP="00AB3894">
            <w:pPr>
              <w:spacing w:line="300" w:lineRule="auto"/>
              <w:ind w:left="0"/>
              <w:jc w:val="both"/>
              <w:rPr>
                <w:rFonts w:eastAsia="Times New Roman" w:cs="Arial"/>
                <w:sz w:val="22"/>
                <w:szCs w:val="22"/>
              </w:rPr>
            </w:pPr>
          </w:p>
          <w:p w14:paraId="18D429BA" w14:textId="1667E70D" w:rsidR="00370722" w:rsidRPr="00AB3894" w:rsidRDefault="00AB3894" w:rsidP="00AB3894">
            <w:pPr>
              <w:ind w:left="0"/>
              <w:rPr>
                <w:sz w:val="22"/>
                <w:szCs w:val="22"/>
              </w:rPr>
            </w:pPr>
            <w:r w:rsidRPr="00AB3894">
              <w:rPr>
                <w:rFonts w:eastAsia="Times New Roman" w:cs="Arial"/>
                <w:sz w:val="22"/>
                <w:szCs w:val="22"/>
              </w:rPr>
              <w:t xml:space="preserve">First level information about Data Protection including Privacy Statements, </w:t>
            </w:r>
            <w:proofErr w:type="spellStart"/>
            <w:r w:rsidRPr="00AB3894">
              <w:rPr>
                <w:rFonts w:eastAsia="Times New Roman" w:cs="Arial"/>
                <w:sz w:val="22"/>
                <w:szCs w:val="22"/>
              </w:rPr>
              <w:t>whitch</w:t>
            </w:r>
            <w:proofErr w:type="spellEnd"/>
            <w:r w:rsidRPr="00AB3894">
              <w:rPr>
                <w:rFonts w:eastAsia="Times New Roman" w:cs="Arial"/>
                <w:sz w:val="22"/>
                <w:szCs w:val="22"/>
              </w:rPr>
              <w:t xml:space="preserve"> signpost to the full policy, are included in documents such as the student handbook and on the college website.</w:t>
            </w:r>
          </w:p>
          <w:p w14:paraId="1E51829D" w14:textId="77777777" w:rsidR="00370722" w:rsidRPr="00370722" w:rsidRDefault="00370722" w:rsidP="00370722"/>
          <w:p w14:paraId="380C83CC" w14:textId="77777777" w:rsidR="00370722" w:rsidRPr="00370722" w:rsidRDefault="00370722" w:rsidP="00370722"/>
          <w:p w14:paraId="5328FCE1" w14:textId="77777777" w:rsidR="00370722" w:rsidRDefault="00370722" w:rsidP="00370722"/>
          <w:p w14:paraId="667A206C" w14:textId="77777777" w:rsidR="00163690" w:rsidRPr="00370722" w:rsidRDefault="00370722" w:rsidP="00370722">
            <w:pPr>
              <w:tabs>
                <w:tab w:val="left" w:pos="3045"/>
              </w:tabs>
            </w:pPr>
            <w:r>
              <w:tab/>
            </w:r>
          </w:p>
        </w:tc>
      </w:tr>
    </w:tbl>
    <w:p w14:paraId="476BC1EC" w14:textId="77777777" w:rsidR="00E6124E" w:rsidRDefault="00E6124E" w:rsidP="004F0225"/>
    <w:p w14:paraId="7BA1E140" w14:textId="3F1D885C" w:rsidR="00E973D9" w:rsidRPr="000B2F56" w:rsidRDefault="00E973D9" w:rsidP="00B369FE">
      <w:pPr>
        <w:widowControl/>
        <w:spacing w:before="0"/>
      </w:pPr>
    </w:p>
    <w:sectPr w:rsidR="00E973D9" w:rsidRPr="000B2F56" w:rsidSect="000D6F80">
      <w:headerReference w:type="default" r:id="rId9"/>
      <w:type w:val="continuous"/>
      <w:pgSz w:w="11900" w:h="16840"/>
      <w:pgMar w:top="23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16A5" w14:textId="77777777" w:rsidR="002B637C" w:rsidRDefault="002B637C" w:rsidP="001D4F2D">
      <w:r>
        <w:separator/>
      </w:r>
    </w:p>
  </w:endnote>
  <w:endnote w:type="continuationSeparator" w:id="0">
    <w:p w14:paraId="53613D38" w14:textId="77777777" w:rsidR="002B637C" w:rsidRDefault="002B637C" w:rsidP="001D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FuturaBT-Medium">
    <w:altName w:val="Futura Md BT"/>
    <w:panose1 w:val="020B0604020202020204"/>
    <w:charset w:val="4D"/>
    <w:family w:val="auto"/>
    <w:notTrueType/>
    <w:pitch w:val="default"/>
    <w:sig w:usb0="00000003" w:usb1="00000000" w:usb2="00000000" w:usb3="00000000" w:csb0="00000001" w:csb1="00000000"/>
  </w:font>
  <w:font w:name="FuturaBT-Light">
    <w:altName w:val="Futura Lt BT"/>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2431" w14:textId="77777777" w:rsidR="002B637C" w:rsidRDefault="002B637C" w:rsidP="001D4F2D">
      <w:r>
        <w:separator/>
      </w:r>
    </w:p>
  </w:footnote>
  <w:footnote w:type="continuationSeparator" w:id="0">
    <w:p w14:paraId="09567861" w14:textId="77777777" w:rsidR="002B637C" w:rsidRDefault="002B637C" w:rsidP="001D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A7A6" w14:textId="77777777" w:rsidR="00AA7DD5" w:rsidRDefault="000D6F80">
    <w:pPr>
      <w:pStyle w:val="Header"/>
    </w:pPr>
    <w:r>
      <w:rPr>
        <w:noProof/>
        <w:lang w:eastAsia="en-GB"/>
      </w:rPr>
      <w:drawing>
        <wp:anchor distT="0" distB="0" distL="114300" distR="114300" simplePos="0" relativeHeight="251659264" behindDoc="0" locked="0" layoutInCell="1" allowOverlap="1" wp14:anchorId="629A9BE4" wp14:editId="605B5863">
          <wp:simplePos x="0" y="0"/>
          <wp:positionH relativeFrom="margin">
            <wp:align>right</wp:align>
          </wp:positionH>
          <wp:positionV relativeFrom="page">
            <wp:posOffset>448945</wp:posOffset>
          </wp:positionV>
          <wp:extent cx="2938320" cy="780480"/>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938320" cy="780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0EAC"/>
    <w:multiLevelType w:val="hybridMultilevel"/>
    <w:tmpl w:val="3A960CE6"/>
    <w:lvl w:ilvl="0" w:tplc="0809000F">
      <w:start w:val="1"/>
      <w:numFmt w:val="decimal"/>
      <w:lvlText w:val="%1."/>
      <w:lvlJc w:val="left"/>
      <w:pPr>
        <w:ind w:left="720" w:hanging="360"/>
      </w:pPr>
      <w:rPr>
        <w:rFonts w:hint="default"/>
      </w:rPr>
    </w:lvl>
    <w:lvl w:ilvl="1" w:tplc="362ED9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D3FDB"/>
    <w:multiLevelType w:val="hybridMultilevel"/>
    <w:tmpl w:val="9DC03FD0"/>
    <w:lvl w:ilvl="0" w:tplc="9E024062">
      <w:start w:val="1"/>
      <w:numFmt w:val="bullet"/>
      <w:pStyle w:val="Bulletsindent"/>
      <w:lvlText w:val=""/>
      <w:lvlJc w:val="left"/>
      <w:pPr>
        <w:ind w:left="720" w:hanging="360"/>
      </w:pPr>
      <w:rPr>
        <w:rFonts w:ascii="Symbol" w:hAnsi="Symbol" w:hint="default"/>
        <w:color w:val="E57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96F38"/>
    <w:multiLevelType w:val="hybridMultilevel"/>
    <w:tmpl w:val="F82E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1ECA"/>
    <w:multiLevelType w:val="hybridMultilevel"/>
    <w:tmpl w:val="4438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E0DD6"/>
    <w:multiLevelType w:val="multilevel"/>
    <w:tmpl w:val="6B6C942E"/>
    <w:lvl w:ilvl="0">
      <w:start w:val="22"/>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483302A5"/>
    <w:multiLevelType w:val="hybridMultilevel"/>
    <w:tmpl w:val="5F20A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C4176"/>
    <w:multiLevelType w:val="hybridMultilevel"/>
    <w:tmpl w:val="F7D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2728F"/>
    <w:multiLevelType w:val="multilevel"/>
    <w:tmpl w:val="BEBA65C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73C1775C"/>
    <w:multiLevelType w:val="hybridMultilevel"/>
    <w:tmpl w:val="C630D5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A40F66"/>
    <w:multiLevelType w:val="hybridMultilevel"/>
    <w:tmpl w:val="B8621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884709"/>
    <w:multiLevelType w:val="hybridMultilevel"/>
    <w:tmpl w:val="C3B23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B764D"/>
    <w:multiLevelType w:val="hybridMultilevel"/>
    <w:tmpl w:val="C6EA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85E40"/>
    <w:multiLevelType w:val="hybridMultilevel"/>
    <w:tmpl w:val="AB4029E0"/>
    <w:lvl w:ilvl="0" w:tplc="FD901F6A">
      <w:start w:val="1"/>
      <w:numFmt w:val="bullet"/>
      <w:pStyle w:val="Bullets"/>
      <w:lvlText w:val=""/>
      <w:lvlJc w:val="left"/>
      <w:pPr>
        <w:ind w:left="720" w:hanging="360"/>
      </w:pPr>
      <w:rPr>
        <w:rFonts w:ascii="Symbol" w:hAnsi="Symbol" w:hint="default"/>
        <w:color w:val="0073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E6081"/>
    <w:multiLevelType w:val="hybridMultilevel"/>
    <w:tmpl w:val="E71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
  </w:num>
  <w:num w:numId="4">
    <w:abstractNumId w:val="3"/>
  </w:num>
  <w:num w:numId="5">
    <w:abstractNumId w:val="6"/>
  </w:num>
  <w:num w:numId="6">
    <w:abstractNumId w:val="7"/>
  </w:num>
  <w:num w:numId="7">
    <w:abstractNumId w:val="4"/>
  </w:num>
  <w:num w:numId="8">
    <w:abstractNumId w:val="11"/>
  </w:num>
  <w:num w:numId="9">
    <w:abstractNumId w:val="8"/>
  </w:num>
  <w:num w:numId="10">
    <w:abstractNumId w:val="13"/>
  </w:num>
  <w:num w:numId="11">
    <w:abstractNumId w:val="9"/>
  </w:num>
  <w:num w:numId="12">
    <w:abstractNumId w:val="10"/>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2D"/>
    <w:rsid w:val="00055F57"/>
    <w:rsid w:val="000827FE"/>
    <w:rsid w:val="000964C1"/>
    <w:rsid w:val="000B2F56"/>
    <w:rsid w:val="000D4462"/>
    <w:rsid w:val="000D6F80"/>
    <w:rsid w:val="00163690"/>
    <w:rsid w:val="001644CF"/>
    <w:rsid w:val="001D4F2D"/>
    <w:rsid w:val="00233B51"/>
    <w:rsid w:val="0028562D"/>
    <w:rsid w:val="00296748"/>
    <w:rsid w:val="002B637C"/>
    <w:rsid w:val="002B790E"/>
    <w:rsid w:val="002D1666"/>
    <w:rsid w:val="00323156"/>
    <w:rsid w:val="00367D37"/>
    <w:rsid w:val="00370722"/>
    <w:rsid w:val="003846C3"/>
    <w:rsid w:val="00385732"/>
    <w:rsid w:val="003D2988"/>
    <w:rsid w:val="003F3D6C"/>
    <w:rsid w:val="00481C06"/>
    <w:rsid w:val="004B1C89"/>
    <w:rsid w:val="004F0225"/>
    <w:rsid w:val="005478DE"/>
    <w:rsid w:val="005D7B20"/>
    <w:rsid w:val="006375ED"/>
    <w:rsid w:val="00692E4B"/>
    <w:rsid w:val="006C6F2A"/>
    <w:rsid w:val="0072286E"/>
    <w:rsid w:val="007615AD"/>
    <w:rsid w:val="00763051"/>
    <w:rsid w:val="00783FD7"/>
    <w:rsid w:val="007A5BAE"/>
    <w:rsid w:val="007E6DDC"/>
    <w:rsid w:val="007F03A9"/>
    <w:rsid w:val="007F62B2"/>
    <w:rsid w:val="008B4A62"/>
    <w:rsid w:val="008D2BCA"/>
    <w:rsid w:val="008D65E9"/>
    <w:rsid w:val="008E5222"/>
    <w:rsid w:val="008E706A"/>
    <w:rsid w:val="009666E9"/>
    <w:rsid w:val="0099367C"/>
    <w:rsid w:val="009A6A68"/>
    <w:rsid w:val="009B5E82"/>
    <w:rsid w:val="009C30F4"/>
    <w:rsid w:val="009D2F02"/>
    <w:rsid w:val="009F1402"/>
    <w:rsid w:val="00A359CE"/>
    <w:rsid w:val="00A97929"/>
    <w:rsid w:val="00AA219D"/>
    <w:rsid w:val="00AA7DD5"/>
    <w:rsid w:val="00AB3894"/>
    <w:rsid w:val="00AC6AEB"/>
    <w:rsid w:val="00AE39FC"/>
    <w:rsid w:val="00B13086"/>
    <w:rsid w:val="00B369FE"/>
    <w:rsid w:val="00B528DF"/>
    <w:rsid w:val="00B52D3E"/>
    <w:rsid w:val="00BA0204"/>
    <w:rsid w:val="00BE461E"/>
    <w:rsid w:val="00C51D9D"/>
    <w:rsid w:val="00C930D3"/>
    <w:rsid w:val="00CA4182"/>
    <w:rsid w:val="00D1213B"/>
    <w:rsid w:val="00D20676"/>
    <w:rsid w:val="00D474C6"/>
    <w:rsid w:val="00DF627B"/>
    <w:rsid w:val="00E2178A"/>
    <w:rsid w:val="00E44A74"/>
    <w:rsid w:val="00E54726"/>
    <w:rsid w:val="00E6124E"/>
    <w:rsid w:val="00E973D9"/>
    <w:rsid w:val="00EE3161"/>
    <w:rsid w:val="00EF35BF"/>
    <w:rsid w:val="00F732A2"/>
    <w:rsid w:val="00F866A0"/>
    <w:rsid w:val="00F96F79"/>
    <w:rsid w:val="00FD7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AB0A6"/>
  <w14:defaultImageDpi w14:val="300"/>
  <w15:docId w15:val="{DCD6504A-D2BC-4BCA-B25F-7CC4F945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
    <w:qFormat/>
    <w:rsid w:val="00E973D9"/>
    <w:pPr>
      <w:widowControl w:val="0"/>
      <w:spacing w:before="40"/>
    </w:pPr>
    <w:rPr>
      <w:rFonts w:ascii="Arial" w:hAnsi="Arial"/>
      <w:color w:val="5A5A59"/>
      <w:sz w:val="20"/>
    </w:rPr>
  </w:style>
  <w:style w:type="paragraph" w:styleId="Heading1">
    <w:name w:val="heading 1"/>
    <w:basedOn w:val="Normal"/>
    <w:next w:val="Normal"/>
    <w:link w:val="Heading1Char"/>
    <w:autoRedefine/>
    <w:uiPriority w:val="9"/>
    <w:qFormat/>
    <w:rsid w:val="00F866A0"/>
    <w:pPr>
      <w:keepNext/>
      <w:keepLines/>
      <w:spacing w:before="100" w:beforeAutospacing="1" w:after="120"/>
      <w:ind w:left="227" w:right="227"/>
      <w:outlineLvl w:val="0"/>
    </w:pPr>
    <w:rPr>
      <w:rFonts w:eastAsiaTheme="majorEastAsia" w:cs="Arial"/>
      <w:b/>
      <w:bCs/>
      <w:color w:val="84BD00"/>
      <w:sz w:val="22"/>
      <w:szCs w:val="22"/>
      <w:u w:val="single"/>
    </w:rPr>
  </w:style>
  <w:style w:type="paragraph" w:styleId="Heading2">
    <w:name w:val="heading 2"/>
    <w:basedOn w:val="Normal"/>
    <w:next w:val="Normal"/>
    <w:link w:val="Heading2Char"/>
    <w:autoRedefine/>
    <w:uiPriority w:val="9"/>
    <w:unhideWhenUsed/>
    <w:qFormat/>
    <w:rsid w:val="00C930D3"/>
    <w:pPr>
      <w:keepNext/>
      <w:keepLines/>
      <w:spacing w:before="200"/>
      <w:outlineLvl w:val="1"/>
    </w:pPr>
    <w:rPr>
      <w:rFonts w:eastAsiaTheme="majorEastAsia" w:cstheme="majorBidi"/>
      <w:b/>
      <w:bCs/>
      <w:color w:val="E57200"/>
      <w:szCs w:val="26"/>
    </w:rPr>
  </w:style>
  <w:style w:type="paragraph" w:styleId="Heading3">
    <w:name w:val="heading 3"/>
    <w:basedOn w:val="Normal"/>
    <w:next w:val="Normal"/>
    <w:link w:val="Heading3Char"/>
    <w:uiPriority w:val="9"/>
    <w:unhideWhenUsed/>
    <w:qFormat/>
    <w:rsid w:val="00367D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autoRedefine/>
    <w:qFormat/>
    <w:rsid w:val="00B528DF"/>
    <w:pPr>
      <w:numPr>
        <w:numId w:val="2"/>
      </w:numPr>
      <w:spacing w:after="120"/>
    </w:pPr>
    <w:rPr>
      <w:rFonts w:cs="Arial"/>
      <w:lang w:val="en-US"/>
    </w:rPr>
  </w:style>
  <w:style w:type="paragraph" w:styleId="ListParagraph">
    <w:name w:val="List Paragraph"/>
    <w:basedOn w:val="Normal"/>
    <w:uiPriority w:val="34"/>
    <w:qFormat/>
    <w:rsid w:val="00B528DF"/>
    <w:pPr>
      <w:ind w:left="720"/>
      <w:contextualSpacing/>
    </w:pPr>
  </w:style>
  <w:style w:type="paragraph" w:customStyle="1" w:styleId="Bulletsindent">
    <w:name w:val="Bullets indent"/>
    <w:basedOn w:val="Bullets"/>
    <w:autoRedefine/>
    <w:qFormat/>
    <w:rsid w:val="00C930D3"/>
    <w:pPr>
      <w:numPr>
        <w:numId w:val="3"/>
      </w:numPr>
      <w:ind w:right="-319"/>
    </w:pPr>
  </w:style>
  <w:style w:type="character" w:customStyle="1" w:styleId="Heading1Char">
    <w:name w:val="Heading 1 Char"/>
    <w:basedOn w:val="DefaultParagraphFont"/>
    <w:link w:val="Heading1"/>
    <w:uiPriority w:val="9"/>
    <w:rsid w:val="00F866A0"/>
    <w:rPr>
      <w:rFonts w:ascii="Arial" w:eastAsiaTheme="majorEastAsia" w:hAnsi="Arial" w:cs="Arial"/>
      <w:b/>
      <w:bCs/>
      <w:color w:val="84BD00"/>
      <w:sz w:val="22"/>
      <w:szCs w:val="22"/>
      <w:u w:val="single"/>
    </w:rPr>
  </w:style>
  <w:style w:type="character" w:customStyle="1" w:styleId="Heading2Char">
    <w:name w:val="Heading 2 Char"/>
    <w:basedOn w:val="DefaultParagraphFont"/>
    <w:link w:val="Heading2"/>
    <w:uiPriority w:val="9"/>
    <w:rsid w:val="00C930D3"/>
    <w:rPr>
      <w:rFonts w:ascii="Arial" w:eastAsiaTheme="majorEastAsia" w:hAnsi="Arial" w:cstheme="majorBidi"/>
      <w:b/>
      <w:bCs/>
      <w:color w:val="E57200"/>
      <w:szCs w:val="26"/>
    </w:rPr>
  </w:style>
  <w:style w:type="paragraph" w:customStyle="1" w:styleId="Headingwhite">
    <w:name w:val="Heading white"/>
    <w:basedOn w:val="Heading1"/>
    <w:autoRedefine/>
    <w:qFormat/>
    <w:rsid w:val="00C930D3"/>
    <w:pPr>
      <w:spacing w:before="0" w:beforeAutospacing="0"/>
    </w:pPr>
    <w:rPr>
      <w:color w:val="FFFFFF" w:themeColor="background1"/>
    </w:rPr>
  </w:style>
  <w:style w:type="paragraph" w:customStyle="1" w:styleId="Parawhite">
    <w:name w:val="Para white"/>
    <w:basedOn w:val="Normal"/>
    <w:autoRedefine/>
    <w:qFormat/>
    <w:rsid w:val="00C930D3"/>
    <w:rPr>
      <w:color w:val="FFFFFF" w:themeColor="background1"/>
    </w:rPr>
  </w:style>
  <w:style w:type="paragraph" w:customStyle="1" w:styleId="Heading2white">
    <w:name w:val="Heading 2 white"/>
    <w:basedOn w:val="Heading2"/>
    <w:autoRedefine/>
    <w:qFormat/>
    <w:rsid w:val="00C930D3"/>
    <w:rPr>
      <w:color w:val="FFFFFF" w:themeColor="background1"/>
    </w:rPr>
  </w:style>
  <w:style w:type="paragraph" w:customStyle="1" w:styleId="Wordofweek">
    <w:name w:val="Word of week"/>
    <w:basedOn w:val="Headingwhite"/>
    <w:autoRedefine/>
    <w:qFormat/>
    <w:rsid w:val="00C930D3"/>
    <w:pPr>
      <w:spacing w:before="80"/>
    </w:pPr>
    <w:rPr>
      <w:sz w:val="48"/>
      <w:lang w:val="en-US"/>
    </w:rPr>
  </w:style>
  <w:style w:type="paragraph" w:styleId="Header">
    <w:name w:val="header"/>
    <w:basedOn w:val="Normal"/>
    <w:link w:val="HeaderChar"/>
    <w:uiPriority w:val="99"/>
    <w:unhideWhenUsed/>
    <w:rsid w:val="001D4F2D"/>
    <w:pPr>
      <w:tabs>
        <w:tab w:val="center" w:pos="4320"/>
        <w:tab w:val="right" w:pos="8640"/>
      </w:tabs>
    </w:pPr>
  </w:style>
  <w:style w:type="character" w:customStyle="1" w:styleId="HeaderChar">
    <w:name w:val="Header Char"/>
    <w:basedOn w:val="DefaultParagraphFont"/>
    <w:link w:val="Header"/>
    <w:uiPriority w:val="99"/>
    <w:rsid w:val="001D4F2D"/>
    <w:rPr>
      <w:rFonts w:ascii="Arial" w:hAnsi="Arial"/>
      <w:color w:val="5A5A59"/>
    </w:rPr>
  </w:style>
  <w:style w:type="paragraph" w:styleId="Footer">
    <w:name w:val="footer"/>
    <w:basedOn w:val="Normal"/>
    <w:link w:val="FooterChar"/>
    <w:uiPriority w:val="99"/>
    <w:unhideWhenUsed/>
    <w:rsid w:val="001D4F2D"/>
    <w:pPr>
      <w:tabs>
        <w:tab w:val="center" w:pos="4320"/>
        <w:tab w:val="right" w:pos="8640"/>
      </w:tabs>
    </w:pPr>
  </w:style>
  <w:style w:type="character" w:customStyle="1" w:styleId="FooterChar">
    <w:name w:val="Footer Char"/>
    <w:basedOn w:val="DefaultParagraphFont"/>
    <w:link w:val="Footer"/>
    <w:uiPriority w:val="99"/>
    <w:rsid w:val="001D4F2D"/>
    <w:rPr>
      <w:rFonts w:ascii="Arial" w:hAnsi="Arial"/>
      <w:color w:val="5A5A59"/>
    </w:rPr>
  </w:style>
  <w:style w:type="paragraph" w:styleId="BalloonText">
    <w:name w:val="Balloon Text"/>
    <w:basedOn w:val="Normal"/>
    <w:link w:val="BalloonTextChar"/>
    <w:uiPriority w:val="99"/>
    <w:semiHidden/>
    <w:unhideWhenUsed/>
    <w:rsid w:val="001D4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F2D"/>
    <w:rPr>
      <w:rFonts w:ascii="Lucida Grande" w:hAnsi="Lucida Grande"/>
      <w:color w:val="5A5A59"/>
      <w:sz w:val="18"/>
      <w:szCs w:val="18"/>
    </w:rPr>
  </w:style>
  <w:style w:type="paragraph" w:styleId="Title">
    <w:name w:val="Title"/>
    <w:basedOn w:val="Normal"/>
    <w:next w:val="Normal"/>
    <w:link w:val="TitleChar"/>
    <w:autoRedefine/>
    <w:uiPriority w:val="10"/>
    <w:qFormat/>
    <w:rsid w:val="00EE3161"/>
    <w:pPr>
      <w:pBdr>
        <w:top w:val="single" w:sz="8" w:space="9" w:color="4F81BD" w:themeColor="accent1"/>
        <w:bottom w:val="single" w:sz="8" w:space="9" w:color="4F81BD" w:themeColor="accent1"/>
      </w:pBdr>
      <w:spacing w:after="360"/>
      <w:contextualSpacing/>
    </w:pPr>
    <w:rPr>
      <w:rFonts w:eastAsiaTheme="majorEastAsia" w:cstheme="majorBidi"/>
      <w:color w:val="007396"/>
      <w:spacing w:val="5"/>
      <w:kern w:val="28"/>
      <w:sz w:val="56"/>
      <w:szCs w:val="56"/>
    </w:rPr>
  </w:style>
  <w:style w:type="character" w:customStyle="1" w:styleId="TitleChar">
    <w:name w:val="Title Char"/>
    <w:basedOn w:val="DefaultParagraphFont"/>
    <w:link w:val="Title"/>
    <w:uiPriority w:val="10"/>
    <w:rsid w:val="00EE3161"/>
    <w:rPr>
      <w:rFonts w:ascii="Arial" w:eastAsiaTheme="majorEastAsia" w:hAnsi="Arial" w:cstheme="majorBidi"/>
      <w:color w:val="007396"/>
      <w:spacing w:val="5"/>
      <w:kern w:val="28"/>
      <w:sz w:val="56"/>
      <w:szCs w:val="56"/>
    </w:rPr>
  </w:style>
  <w:style w:type="table" w:styleId="TableGrid">
    <w:name w:val="Table Grid"/>
    <w:basedOn w:val="TableNormal"/>
    <w:uiPriority w:val="59"/>
    <w:rsid w:val="008E706A"/>
    <w:pPr>
      <w:ind w:left="227" w:right="227"/>
    </w:pPr>
    <w:rPr>
      <w:rFonts w:ascii="Arial" w:hAnsi="Arial"/>
      <w:sz w:val="20"/>
      <w:szCs w:val="20"/>
    </w:rPr>
    <w:tblPr>
      <w:tblBorders>
        <w:top w:val="single" w:sz="4" w:space="0" w:color="007396"/>
        <w:left w:val="single" w:sz="4" w:space="0" w:color="007396"/>
        <w:bottom w:val="single" w:sz="4" w:space="0" w:color="007396"/>
        <w:right w:val="single" w:sz="4" w:space="0" w:color="007396"/>
        <w:insideH w:val="single" w:sz="4" w:space="0" w:color="007396"/>
        <w:insideV w:val="single" w:sz="4" w:space="0" w:color="007396"/>
      </w:tblBorders>
      <w:tblCellMar>
        <w:top w:w="113" w:type="dxa"/>
        <w:left w:w="113" w:type="dxa"/>
        <w:bottom w:w="113" w:type="dxa"/>
        <w:right w:w="113" w:type="dxa"/>
      </w:tblCellMar>
    </w:tblPr>
    <w:tcPr>
      <w:shd w:val="clear" w:color="auto" w:fill="auto"/>
    </w:tcPr>
  </w:style>
  <w:style w:type="character" w:customStyle="1" w:styleId="Heading3Char">
    <w:name w:val="Heading 3 Char"/>
    <w:basedOn w:val="DefaultParagraphFont"/>
    <w:link w:val="Heading3"/>
    <w:uiPriority w:val="9"/>
    <w:rsid w:val="00367D37"/>
    <w:rPr>
      <w:rFonts w:asciiTheme="majorHAnsi" w:eastAsiaTheme="majorEastAsia" w:hAnsiTheme="majorHAnsi" w:cstheme="majorBidi"/>
      <w:b/>
      <w:bCs/>
      <w:color w:val="4F81BD" w:themeColor="accent1"/>
    </w:rPr>
  </w:style>
  <w:style w:type="paragraph" w:customStyle="1" w:styleId="beforebulletmedium">
    <w:name w:val="before bullet medium"/>
    <w:basedOn w:val="Normal"/>
    <w:uiPriority w:val="99"/>
    <w:rsid w:val="007F62B2"/>
    <w:pPr>
      <w:suppressAutoHyphens/>
      <w:autoSpaceDE w:val="0"/>
      <w:autoSpaceDN w:val="0"/>
      <w:adjustRightInd w:val="0"/>
      <w:spacing w:before="57" w:after="113" w:line="288" w:lineRule="auto"/>
      <w:textAlignment w:val="center"/>
    </w:pPr>
    <w:rPr>
      <w:rFonts w:ascii="FuturaBT-Medium" w:hAnsi="FuturaBT-Medium" w:cs="FuturaBT-Medium"/>
      <w:color w:val="3F3F3F"/>
      <w:spacing w:val="-2"/>
      <w:szCs w:val="20"/>
    </w:rPr>
  </w:style>
  <w:style w:type="paragraph" w:styleId="Subtitle">
    <w:name w:val="Subtitle"/>
    <w:basedOn w:val="Normal"/>
    <w:next w:val="Normal"/>
    <w:link w:val="SubtitleChar"/>
    <w:uiPriority w:val="11"/>
    <w:qFormat/>
    <w:rsid w:val="008B4A62"/>
    <w:pPr>
      <w:numPr>
        <w:ilvl w:val="1"/>
      </w:numPr>
    </w:pPr>
    <w:rPr>
      <w:rFonts w:eastAsiaTheme="majorEastAsia" w:cstheme="majorBidi"/>
      <w:caps/>
      <w:color w:val="84BD00"/>
      <w:sz w:val="28"/>
      <w:szCs w:val="28"/>
    </w:rPr>
  </w:style>
  <w:style w:type="character" w:customStyle="1" w:styleId="SubtitleChar">
    <w:name w:val="Subtitle Char"/>
    <w:basedOn w:val="DefaultParagraphFont"/>
    <w:link w:val="Subtitle"/>
    <w:uiPriority w:val="11"/>
    <w:rsid w:val="008B4A62"/>
    <w:rPr>
      <w:rFonts w:ascii="Arial" w:eastAsiaTheme="majorEastAsia" w:hAnsi="Arial" w:cstheme="majorBidi"/>
      <w:caps/>
      <w:color w:val="84BD00"/>
      <w:sz w:val="28"/>
      <w:szCs w:val="28"/>
    </w:rPr>
  </w:style>
  <w:style w:type="paragraph" w:customStyle="1" w:styleId="parasmallleft">
    <w:name w:val="para small left"/>
    <w:basedOn w:val="Normal"/>
    <w:uiPriority w:val="99"/>
    <w:rsid w:val="00163690"/>
    <w:pPr>
      <w:suppressAutoHyphens/>
      <w:autoSpaceDE w:val="0"/>
      <w:autoSpaceDN w:val="0"/>
      <w:adjustRightInd w:val="0"/>
      <w:spacing w:before="0" w:after="227" w:line="288" w:lineRule="auto"/>
      <w:textAlignment w:val="center"/>
    </w:pPr>
    <w:rPr>
      <w:rFonts w:ascii="FuturaBT-Light" w:hAnsi="FuturaBT-Light" w:cs="FuturaBT-Light"/>
      <w:color w:val="3F3F3F"/>
      <w:spacing w:val="-3"/>
      <w:sz w:val="16"/>
      <w:szCs w:val="16"/>
    </w:rPr>
  </w:style>
  <w:style w:type="character" w:customStyle="1" w:styleId="-20">
    <w:name w:val="-20"/>
    <w:basedOn w:val="DefaultParagraphFont"/>
    <w:uiPriority w:val="99"/>
    <w:rsid w:val="00163690"/>
  </w:style>
  <w:style w:type="paragraph" w:customStyle="1" w:styleId="sub1">
    <w:name w:val="sub1"/>
    <w:basedOn w:val="Normal"/>
    <w:qFormat/>
    <w:rsid w:val="00E973D9"/>
    <w:rPr>
      <w:color w:val="007396"/>
      <w:szCs w:val="20"/>
    </w:rPr>
  </w:style>
  <w:style w:type="paragraph" w:styleId="BodyText2">
    <w:name w:val="Body Text 2"/>
    <w:basedOn w:val="Normal"/>
    <w:link w:val="BodyText2Char"/>
    <w:uiPriority w:val="99"/>
    <w:unhideWhenUsed/>
    <w:rsid w:val="00E6124E"/>
    <w:pPr>
      <w:widowControl/>
      <w:spacing w:before="0" w:after="120" w:line="480" w:lineRule="auto"/>
    </w:pPr>
    <w:rPr>
      <w:rFonts w:asciiTheme="minorHAnsi" w:eastAsiaTheme="minorHAnsi" w:hAnsiTheme="minorHAnsi"/>
      <w:color w:val="auto"/>
      <w:sz w:val="22"/>
      <w:szCs w:val="22"/>
    </w:rPr>
  </w:style>
  <w:style w:type="character" w:customStyle="1" w:styleId="BodyText2Char">
    <w:name w:val="Body Text 2 Char"/>
    <w:basedOn w:val="DefaultParagraphFont"/>
    <w:link w:val="BodyText2"/>
    <w:uiPriority w:val="99"/>
    <w:rsid w:val="00E6124E"/>
    <w:rPr>
      <w:rFonts w:eastAsiaTheme="minorHAnsi"/>
      <w:sz w:val="22"/>
      <w:szCs w:val="22"/>
    </w:rPr>
  </w:style>
  <w:style w:type="character" w:styleId="Hyperlink">
    <w:name w:val="Hyperlink"/>
    <w:basedOn w:val="DefaultParagraphFont"/>
    <w:uiPriority w:val="99"/>
    <w:unhideWhenUsed/>
    <w:rsid w:val="00AB3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for_organisatio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D98E-1DF4-614B-AD4B-EADA13F4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Sunderland College</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Burns</dc:creator>
  <cp:lastModifiedBy>Microsoft Office User</cp:lastModifiedBy>
  <cp:revision>3</cp:revision>
  <cp:lastPrinted>2018-05-09T11:35:00Z</cp:lastPrinted>
  <dcterms:created xsi:type="dcterms:W3CDTF">2018-05-21T14:09:00Z</dcterms:created>
  <dcterms:modified xsi:type="dcterms:W3CDTF">2018-05-24T10:12:00Z</dcterms:modified>
</cp:coreProperties>
</file>